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8178" w14:textId="7906D973" w:rsidR="00C72CEB" w:rsidRPr="00AA31AD" w:rsidRDefault="00AA31AD" w:rsidP="00D77A10">
      <w:pPr>
        <w:jc w:val="center"/>
        <w:rPr>
          <w:rFonts w:ascii="Times New Roman" w:eastAsia="Times New Roman" w:hAnsi="Times New Roman" w:cs="Times New Roman"/>
          <w:b/>
          <w:sz w:val="28"/>
          <w:szCs w:val="28"/>
        </w:rPr>
      </w:pPr>
      <w:r w:rsidRPr="00AA31AD">
        <w:rPr>
          <w:rFonts w:ascii="Times New Roman" w:eastAsia="Times New Roman" w:hAnsi="Times New Roman" w:cs="Times New Roman"/>
          <w:b/>
          <w:sz w:val="28"/>
          <w:szCs w:val="28"/>
        </w:rPr>
        <w:t xml:space="preserve">Tại sao ngân hàng quốc doanh </w:t>
      </w:r>
      <w:r w:rsidR="00195410">
        <w:rPr>
          <w:rFonts w:ascii="Times New Roman" w:eastAsia="Times New Roman" w:hAnsi="Times New Roman" w:cs="Times New Roman"/>
          <w:b/>
          <w:sz w:val="28"/>
          <w:szCs w:val="28"/>
        </w:rPr>
        <w:t>V</w:t>
      </w:r>
      <w:r w:rsidRPr="00AA31AD">
        <w:rPr>
          <w:rFonts w:ascii="Times New Roman" w:eastAsia="Times New Roman" w:hAnsi="Times New Roman" w:cs="Times New Roman"/>
          <w:b/>
          <w:sz w:val="28"/>
          <w:szCs w:val="28"/>
        </w:rPr>
        <w:t>ietcombank từ bỏ mảng dịch vụ nghìn tỷ?</w:t>
      </w:r>
    </w:p>
    <w:p w14:paraId="47543BF3" w14:textId="771B322B" w:rsidR="00AA31AD" w:rsidRPr="00AA31AD" w:rsidRDefault="00AA31AD" w:rsidP="00D77A10">
      <w:pPr>
        <w:jc w:val="right"/>
        <w:rPr>
          <w:rFonts w:ascii="Times New Roman" w:eastAsia="Times New Roman" w:hAnsi="Times New Roman" w:cs="Times New Roman"/>
          <w:i/>
          <w:iCs/>
        </w:rPr>
      </w:pPr>
      <w:r w:rsidRPr="00AA31AD">
        <w:rPr>
          <w:rFonts w:ascii="Times New Roman" w:eastAsia="Times New Roman" w:hAnsi="Times New Roman" w:cs="Times New Roman"/>
          <w:i/>
          <w:iCs/>
        </w:rPr>
        <w:t>Nhóm sinh viên – BUH</w:t>
      </w:r>
    </w:p>
    <w:p w14:paraId="413A4B20" w14:textId="4779A987" w:rsidR="00C72CEB" w:rsidRDefault="000D20BA" w:rsidP="00D77A10">
      <w:pPr>
        <w:jc w:val="both"/>
        <w:rPr>
          <w:rFonts w:ascii="Times New Roman" w:eastAsia="Times New Roman" w:hAnsi="Times New Roman" w:cs="Times New Roman"/>
          <w:i/>
        </w:rPr>
      </w:pPr>
      <w:r w:rsidRPr="00DD5AF0">
        <w:rPr>
          <w:rFonts w:ascii="Times New Roman" w:eastAsia="Times New Roman" w:hAnsi="Times New Roman" w:cs="Times New Roman"/>
          <w:i/>
        </w:rPr>
        <w:t xml:space="preserve">Bộ 3 ngân hàng thương mại quốc doanh vừa tuyên bố miễn phí toàn bộ phí chuyển tiền online cho mọi khách hàng bắt đầu từ 1/1/2022. Điển hình như Vietcombank – ngân hàng từng kiên định và đi tiên phong trong chính sách thu phí dịch vụ thanh toán lại là ngân hàng quốc doanh đầu tiên thông báo điều này. Liệu đây có phải là xu hướng tất yếu của ngành ngân hàng hay do chỉ thị từ SBV để dành lại thị phần cho các ngân hàng nhà nước. Vietcombank đã thấy được lợi ích gì khi thực hiện chính sách này? </w:t>
      </w:r>
    </w:p>
    <w:p w14:paraId="41E9BFE9" w14:textId="4CF26C75" w:rsidR="00CC40CF" w:rsidRPr="009A4C7B" w:rsidRDefault="00CC40CF" w:rsidP="00CC40CF">
      <w:pPr>
        <w:keepNext/>
        <w:jc w:val="both"/>
        <w:rPr>
          <w:color w:val="808080" w:themeColor="background1" w:themeShade="80"/>
        </w:rPr>
      </w:pPr>
      <w:r w:rsidRPr="009A4C7B">
        <w:rPr>
          <w:rFonts w:ascii="Times New Roman" w:eastAsia="Times New Roman" w:hAnsi="Times New Roman" w:cs="Times New Roman"/>
          <w:i/>
          <w:noProof/>
          <w:color w:val="808080" w:themeColor="background1" w:themeShade="80"/>
        </w:rPr>
        <w:drawing>
          <wp:inline distT="0" distB="0" distL="0" distR="0" wp14:anchorId="43639183" wp14:editId="1E0D9D8F">
            <wp:extent cx="5942330" cy="29146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5957348" cy="2922016"/>
                    </a:xfrm>
                    <a:prstGeom prst="rect">
                      <a:avLst/>
                    </a:prstGeom>
                  </pic:spPr>
                </pic:pic>
              </a:graphicData>
            </a:graphic>
          </wp:inline>
        </w:drawing>
      </w:r>
    </w:p>
    <w:p w14:paraId="0B37B1D4" w14:textId="017B225A" w:rsidR="009A4C7B" w:rsidRPr="009A4C7B" w:rsidRDefault="009A4C7B" w:rsidP="00CC40CF">
      <w:pPr>
        <w:keepNext/>
        <w:jc w:val="both"/>
        <w:rPr>
          <w:i/>
          <w:iCs/>
          <w:color w:val="808080" w:themeColor="background1" w:themeShade="80"/>
        </w:rPr>
      </w:pPr>
      <w:r w:rsidRPr="009A4C7B">
        <w:rPr>
          <w:rFonts w:ascii="Arial" w:hAnsi="Arial" w:cs="Arial"/>
          <w:i/>
          <w:iCs/>
          <w:color w:val="808080" w:themeColor="background1" w:themeShade="80"/>
          <w:sz w:val="20"/>
          <w:szCs w:val="20"/>
          <w:shd w:val="clear" w:color="auto" w:fill="FFFFFF"/>
        </w:rPr>
        <w:t>Vietcombank miễn toàn bộ các loại phí chuyển tiền, quản lý và duy trì dịch vụ</w:t>
      </w:r>
    </w:p>
    <w:p w14:paraId="7460EBA7" w14:textId="6E66D5C7" w:rsidR="00C72CEB" w:rsidRPr="00DD5AF0" w:rsidRDefault="000D20BA" w:rsidP="00D77A10">
      <w:pPr>
        <w:jc w:val="both"/>
        <w:rPr>
          <w:rFonts w:ascii="Times New Roman" w:eastAsia="Times New Roman" w:hAnsi="Times New Roman" w:cs="Times New Roman"/>
        </w:rPr>
      </w:pPr>
      <w:r w:rsidRPr="00DD5AF0">
        <w:rPr>
          <w:rFonts w:ascii="Times New Roman" w:eastAsia="Times New Roman" w:hAnsi="Times New Roman" w:cs="Times New Roman"/>
        </w:rPr>
        <w:t xml:space="preserve">Nói về cạnh tranh giữa các ngân hàng hiện nay thì không thể không nhắc đến công cuộc chuyển đổi số và giảm, miễn các loại phí dịch vụ. Trải qua 2 năm bị ảnh hưởng bởi đại dịch </w:t>
      </w:r>
      <w:r w:rsidR="00AA31AD" w:rsidRPr="00DD5AF0">
        <w:rPr>
          <w:rFonts w:ascii="Times New Roman" w:eastAsia="Times New Roman" w:hAnsi="Times New Roman" w:cs="Times New Roman"/>
          <w:spacing w:val="-20"/>
        </w:rPr>
        <w:t>COVID – 19</w:t>
      </w:r>
      <w:r w:rsidRPr="00DD5AF0">
        <w:rPr>
          <w:rFonts w:ascii="Times New Roman" w:eastAsia="Times New Roman" w:hAnsi="Times New Roman" w:cs="Times New Roman"/>
        </w:rPr>
        <w:t>, các hoạt động “không tiếp xúc” trở nên phổ biến dần, do đó, chuyển đổi số không còn là định hướng, mục tiêu mà là xu hướng tất yếu đòi hỏi các ngân hàng phải “chạy đua marathon”</w:t>
      </w:r>
      <w:r w:rsidR="00AA31AD" w:rsidRPr="00DD5AF0">
        <w:rPr>
          <w:rFonts w:ascii="Times New Roman" w:eastAsia="Times New Roman" w:hAnsi="Times New Roman" w:cs="Times New Roman"/>
        </w:rPr>
        <w:t>, muốn</w:t>
      </w:r>
      <w:r w:rsidRPr="00DD5AF0">
        <w:rPr>
          <w:rFonts w:ascii="Times New Roman" w:eastAsia="Times New Roman" w:hAnsi="Times New Roman" w:cs="Times New Roman"/>
        </w:rPr>
        <w:t xml:space="preserve"> sống sót và phát triển, các ngân hàng phải có chiến thuật và “sức bền” suốt cuộc đua. </w:t>
      </w:r>
    </w:p>
    <w:p w14:paraId="453D6E7D" w14:textId="56CA23B7" w:rsidR="00C72CEB" w:rsidRPr="00DD5AF0" w:rsidRDefault="000D20BA" w:rsidP="00D77A10">
      <w:pPr>
        <w:jc w:val="both"/>
        <w:rPr>
          <w:rFonts w:ascii="Times New Roman" w:eastAsia="Times New Roman" w:hAnsi="Times New Roman" w:cs="Times New Roman"/>
        </w:rPr>
      </w:pPr>
      <w:r w:rsidRPr="00DD5AF0">
        <w:rPr>
          <w:rFonts w:ascii="Times New Roman" w:eastAsia="Times New Roman" w:hAnsi="Times New Roman" w:cs="Times New Roman"/>
        </w:rPr>
        <w:t xml:space="preserve">Trong cuộc đua chuyển đổi số, các ngân hàng quốc doanh xuất phát chậm hơn so với khối tư nhân và bị bỏ </w:t>
      </w:r>
      <w:r w:rsidR="00AA31AD" w:rsidRPr="00DD5AF0">
        <w:rPr>
          <w:rFonts w:ascii="Times New Roman" w:eastAsia="Times New Roman" w:hAnsi="Times New Roman" w:cs="Times New Roman"/>
        </w:rPr>
        <w:t>một</w:t>
      </w:r>
      <w:r w:rsidRPr="00DD5AF0">
        <w:rPr>
          <w:rFonts w:ascii="Times New Roman" w:eastAsia="Times New Roman" w:hAnsi="Times New Roman" w:cs="Times New Roman"/>
        </w:rPr>
        <w:t xml:space="preserve"> khoảng cách khá xa. Nhận thấy được lợi ích to lớn của quá trình chuyển đổi số: T</w:t>
      </w:r>
      <w:r w:rsidR="00D77A10">
        <w:rPr>
          <w:rFonts w:ascii="Times New Roman" w:eastAsia="Times New Roman" w:hAnsi="Times New Roman" w:cs="Times New Roman"/>
        </w:rPr>
        <w:t>echcombank (TCB)</w:t>
      </w:r>
      <w:r w:rsidRPr="00DD5AF0">
        <w:rPr>
          <w:rFonts w:ascii="Times New Roman" w:eastAsia="Times New Roman" w:hAnsi="Times New Roman" w:cs="Times New Roman"/>
        </w:rPr>
        <w:t>, MBB</w:t>
      </w:r>
      <w:r w:rsidR="00D77A10">
        <w:rPr>
          <w:rFonts w:ascii="Times New Roman" w:eastAsia="Times New Roman" w:hAnsi="Times New Roman" w:cs="Times New Roman"/>
        </w:rPr>
        <w:t>ank (MBB)</w:t>
      </w:r>
      <w:r w:rsidRPr="00DD5AF0">
        <w:rPr>
          <w:rFonts w:ascii="Times New Roman" w:eastAsia="Times New Roman" w:hAnsi="Times New Roman" w:cs="Times New Roman"/>
        </w:rPr>
        <w:t xml:space="preserve"> phát triển vượt bậc, TP</w:t>
      </w:r>
      <w:r w:rsidR="00D77A10">
        <w:rPr>
          <w:rFonts w:ascii="Times New Roman" w:eastAsia="Times New Roman" w:hAnsi="Times New Roman" w:cs="Times New Roman"/>
        </w:rPr>
        <w:t>Bank (TPB)</w:t>
      </w:r>
      <w:r w:rsidRPr="00DD5AF0">
        <w:rPr>
          <w:rFonts w:ascii="Times New Roman" w:eastAsia="Times New Roman" w:hAnsi="Times New Roman" w:cs="Times New Roman"/>
        </w:rPr>
        <w:t xml:space="preserve"> từ ngân hàng hoạt động kém nhất hệ thống vươn lên top đầu lợi nhuận trong các năm gần đây; V</w:t>
      </w:r>
      <w:r w:rsidR="00D77A10">
        <w:rPr>
          <w:rFonts w:ascii="Times New Roman" w:eastAsia="Times New Roman" w:hAnsi="Times New Roman" w:cs="Times New Roman"/>
        </w:rPr>
        <w:t>ietcombank (VCB)</w:t>
      </w:r>
      <w:r w:rsidRPr="00DD5AF0">
        <w:rPr>
          <w:rFonts w:ascii="Times New Roman" w:eastAsia="Times New Roman" w:hAnsi="Times New Roman" w:cs="Times New Roman"/>
        </w:rPr>
        <w:t xml:space="preserve"> bắt đầu nhập cuộc và trải qua nhiều thay đổi đến nay có thể nói nền tảng Digital của VCB đã thu hút được lượng lớn khách hàng sử dụng do có cấu hình thân thiện với người dùng. Kết thúc Q</w:t>
      </w:r>
      <w:r w:rsidR="00AA31AD" w:rsidRPr="00DD5AF0">
        <w:rPr>
          <w:rFonts w:ascii="Times New Roman" w:eastAsia="Times New Roman" w:hAnsi="Times New Roman" w:cs="Times New Roman"/>
        </w:rPr>
        <w:t xml:space="preserve">uý </w:t>
      </w:r>
      <w:r w:rsidRPr="00DD5AF0">
        <w:rPr>
          <w:rFonts w:ascii="Times New Roman" w:eastAsia="Times New Roman" w:hAnsi="Times New Roman" w:cs="Times New Roman"/>
        </w:rPr>
        <w:t xml:space="preserve">1/2021, VCB nằm trong top 3 ngân hàng có tỉ lệ </w:t>
      </w:r>
      <w:r w:rsidR="00C9484F">
        <w:rPr>
          <w:rFonts w:ascii="Times New Roman" w:eastAsia="Times New Roman" w:hAnsi="Times New Roman" w:cs="Times New Roman"/>
        </w:rPr>
        <w:t>CASA</w:t>
      </w:r>
      <w:r w:rsidRPr="00DD5AF0">
        <w:rPr>
          <w:rFonts w:ascii="Times New Roman" w:eastAsia="Times New Roman" w:hAnsi="Times New Roman" w:cs="Times New Roman"/>
        </w:rPr>
        <w:t xml:space="preserve"> cao nhất hệ thống cùng với khoảng 6 triệu người sử dụng dịch vụ VCB Digibank để giao dịch 24/7.</w:t>
      </w:r>
    </w:p>
    <w:p w14:paraId="539678E4" w14:textId="77777777" w:rsidR="00D77A10" w:rsidRDefault="000D20BA" w:rsidP="00D77A10">
      <w:pPr>
        <w:jc w:val="both"/>
        <w:rPr>
          <w:rFonts w:ascii="Times New Roman" w:eastAsia="Times New Roman" w:hAnsi="Times New Roman" w:cs="Times New Roman"/>
        </w:rPr>
      </w:pPr>
      <w:r w:rsidRPr="00DD5AF0">
        <w:rPr>
          <w:rFonts w:ascii="Times New Roman" w:eastAsia="Times New Roman" w:hAnsi="Times New Roman" w:cs="Times New Roman"/>
        </w:rPr>
        <w:t xml:space="preserve">VCB đã đạt được một vài thành tựu tiêu biểu khi chuyển đổi số nhưng dường như vẫn chưa đủ, nhà băng này quyết định thực hiện chính sách miễn </w:t>
      </w:r>
      <w:r w:rsidR="00FD34AC">
        <w:rPr>
          <w:rFonts w:ascii="Times New Roman" w:eastAsia="Times New Roman" w:hAnsi="Times New Roman" w:cs="Times New Roman"/>
        </w:rPr>
        <w:t>“</w:t>
      </w:r>
      <w:r w:rsidRPr="00DD5AF0">
        <w:rPr>
          <w:rFonts w:ascii="Times New Roman" w:eastAsia="Times New Roman" w:hAnsi="Times New Roman" w:cs="Times New Roman"/>
        </w:rPr>
        <w:t>zero free</w:t>
      </w:r>
      <w:r w:rsidR="00FD34AC">
        <w:rPr>
          <w:rFonts w:ascii="Times New Roman" w:eastAsia="Times New Roman" w:hAnsi="Times New Roman" w:cs="Times New Roman"/>
        </w:rPr>
        <w:t>”</w:t>
      </w:r>
      <w:r w:rsidRPr="00DD5AF0">
        <w:rPr>
          <w:rFonts w:ascii="Times New Roman" w:eastAsia="Times New Roman" w:hAnsi="Times New Roman" w:cs="Times New Roman"/>
        </w:rPr>
        <w:t xml:space="preserve"> mặc dù một loạt các ngân hàng khác đã thực hiện từ nhiều năm trước. Tuy nhiên cũng phải nói rằng VCB không thể đưa ra quyết định miễn phí chuyển khoản online nhanh chóng như các ngân hàng khác vì đây là một trong những nguồn thu quan trọng hàng đầu của ngân hàng. Số liệu báo cáo tài chính từ 2016-2020 cho ta thấy khoản lãi thuần từ hoạt động thanh toán đóng góp đến 45-55% lãi thuần từ hoạt động dịch vụ. </w:t>
      </w:r>
    </w:p>
    <w:p w14:paraId="1C5FD891" w14:textId="24BF2260" w:rsidR="00BD47FE" w:rsidRPr="00BD47FE" w:rsidRDefault="00D77A10" w:rsidP="00B552C3">
      <w:pPr>
        <w:jc w:val="center"/>
        <w:rPr>
          <w:rFonts w:ascii="Times New Roman" w:eastAsia="Times New Roman" w:hAnsi="Times New Roman" w:cs="Times New Roman"/>
        </w:rPr>
      </w:pPr>
      <w:r>
        <w:rPr>
          <w:noProof/>
        </w:rPr>
        <w:lastRenderedPageBreak/>
        <w:drawing>
          <wp:inline distT="0" distB="0" distL="0" distR="0" wp14:anchorId="3F63F488" wp14:editId="13FD54EE">
            <wp:extent cx="5908675" cy="2686050"/>
            <wp:effectExtent l="0" t="0" r="15875" b="0"/>
            <wp:docPr id="4" name="Chart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DB72E6" w14:textId="77777777" w:rsidR="00CC40CF" w:rsidRDefault="000D20BA" w:rsidP="00D77A10">
      <w:pPr>
        <w:jc w:val="both"/>
        <w:rPr>
          <w:rFonts w:ascii="Times New Roman" w:eastAsia="Times New Roman" w:hAnsi="Times New Roman" w:cs="Times New Roman"/>
        </w:rPr>
      </w:pPr>
      <w:r w:rsidRPr="00DD5AF0">
        <w:rPr>
          <w:rFonts w:ascii="Times New Roman" w:eastAsia="Times New Roman" w:hAnsi="Times New Roman" w:cs="Times New Roman"/>
        </w:rPr>
        <w:t>Tuy nhiên, VCB đã chấp nhận từ bỏ mảng hoạt động mang lại nghìn tỷ cho mình. Chúng ta sẽ tìm hiểu lợi ích mà VCB có được để có thể lý giải phần nào nguyên nhân của chính sách này.</w:t>
      </w:r>
    </w:p>
    <w:p w14:paraId="6A984C0E" w14:textId="5D6C613E" w:rsidR="00C72CEB" w:rsidRPr="00CC40CF" w:rsidRDefault="000D20BA" w:rsidP="00D77A10">
      <w:pPr>
        <w:jc w:val="both"/>
        <w:rPr>
          <w:rFonts w:ascii="Times New Roman" w:eastAsia="Times New Roman" w:hAnsi="Times New Roman" w:cs="Times New Roman"/>
        </w:rPr>
      </w:pPr>
      <w:r w:rsidRPr="00DD5AF0">
        <w:rPr>
          <w:rFonts w:ascii="Times New Roman" w:eastAsia="Times New Roman" w:hAnsi="Times New Roman" w:cs="Times New Roman"/>
          <w:b/>
        </w:rPr>
        <w:t>Thực trạng doanh thu mảng dịch vụ thanh toán của Vietcombank</w:t>
      </w:r>
    </w:p>
    <w:p w14:paraId="6FAA92AB" w14:textId="2472FE8C" w:rsidR="00C72CEB" w:rsidRPr="00DD5AF0" w:rsidRDefault="000D20BA" w:rsidP="00D77A10">
      <w:pPr>
        <w:pBdr>
          <w:top w:val="nil"/>
          <w:left w:val="nil"/>
          <w:bottom w:val="nil"/>
          <w:right w:val="nil"/>
          <w:between w:val="nil"/>
        </w:pBdr>
        <w:shd w:val="clear" w:color="auto" w:fill="FFFFFF"/>
        <w:jc w:val="both"/>
        <w:rPr>
          <w:rFonts w:ascii="Times New Roman" w:eastAsia="Times New Roman" w:hAnsi="Times New Roman" w:cs="Times New Roman"/>
          <w:color w:val="212529"/>
          <w:highlight w:val="white"/>
        </w:rPr>
      </w:pPr>
      <w:r w:rsidRPr="00DD5AF0">
        <w:rPr>
          <w:rFonts w:ascii="Times New Roman" w:eastAsia="Times New Roman" w:hAnsi="Times New Roman" w:cs="Times New Roman"/>
          <w:color w:val="212529"/>
          <w:highlight w:val="white"/>
        </w:rPr>
        <w:t xml:space="preserve">Trong giai đoạn 2016 – 2020, khoản thu từ dịch vụ thanh toán (với sự đóng góp chính của các loại phí chuyển khoản) đã tăng hơn 2,2 lần từ mức 2.744 tỷ vào năm 2016 lên 6.155 tỷ đồng trong năm 2020. Đồng thời, nguồn thu này luôn chiếm từ 60 – 70% tổng thu nhập hoạt động dịch vụ của </w:t>
      </w:r>
      <w:r w:rsidR="00084034">
        <w:rPr>
          <w:rFonts w:ascii="Times New Roman" w:eastAsia="Times New Roman" w:hAnsi="Times New Roman" w:cs="Times New Roman"/>
          <w:color w:val="212529"/>
          <w:highlight w:val="white"/>
        </w:rPr>
        <w:t>VCB.</w:t>
      </w:r>
    </w:p>
    <w:p w14:paraId="7DC9A54D" w14:textId="46D04117" w:rsidR="00C72CEB" w:rsidRPr="00DD5AF0" w:rsidRDefault="000D20BA" w:rsidP="00D77A10">
      <w:pPr>
        <w:pBdr>
          <w:top w:val="nil"/>
          <w:left w:val="nil"/>
          <w:bottom w:val="nil"/>
          <w:right w:val="nil"/>
          <w:between w:val="nil"/>
        </w:pBdr>
        <w:shd w:val="clear" w:color="auto" w:fill="FFFFFF"/>
        <w:jc w:val="both"/>
        <w:rPr>
          <w:rFonts w:ascii="Times New Roman" w:eastAsia="Times New Roman" w:hAnsi="Times New Roman" w:cs="Times New Roman"/>
          <w:color w:val="212529"/>
          <w:highlight w:val="white"/>
        </w:rPr>
      </w:pPr>
      <w:r w:rsidRPr="00DD5AF0">
        <w:rPr>
          <w:rFonts w:ascii="Times New Roman" w:eastAsia="Times New Roman" w:hAnsi="Times New Roman" w:cs="Times New Roman"/>
          <w:color w:val="212529"/>
          <w:highlight w:val="white"/>
        </w:rPr>
        <w:t xml:space="preserve">Sau khi trừ chi phí, lãi thuần từ hoạt động thanh toán của </w:t>
      </w:r>
      <w:r w:rsidR="00084034">
        <w:rPr>
          <w:rFonts w:ascii="Times New Roman" w:eastAsia="Times New Roman" w:hAnsi="Times New Roman" w:cs="Times New Roman"/>
          <w:color w:val="212529"/>
          <w:highlight w:val="white"/>
        </w:rPr>
        <w:t>VCB</w:t>
      </w:r>
      <w:r w:rsidRPr="00DD5AF0">
        <w:rPr>
          <w:rFonts w:ascii="Times New Roman" w:eastAsia="Times New Roman" w:hAnsi="Times New Roman" w:cs="Times New Roman"/>
          <w:color w:val="212529"/>
          <w:highlight w:val="white"/>
        </w:rPr>
        <w:t xml:space="preserve"> cũng tăng gấp 2,7 lần, từ mức 1.049 tỷ vào năm 2016 lên 2.782 tỷ vào năm 2020. Con số này tương đương một nửa tổng lãi thuần từ hoạt động dịch vụ mà </w:t>
      </w:r>
      <w:r w:rsidR="00084034">
        <w:rPr>
          <w:rFonts w:ascii="Times New Roman" w:eastAsia="Times New Roman" w:hAnsi="Times New Roman" w:cs="Times New Roman"/>
          <w:color w:val="212529"/>
          <w:highlight w:val="white"/>
        </w:rPr>
        <w:t>VCB</w:t>
      </w:r>
      <w:r w:rsidRPr="00DD5AF0">
        <w:rPr>
          <w:rFonts w:ascii="Times New Roman" w:eastAsia="Times New Roman" w:hAnsi="Times New Roman" w:cs="Times New Roman"/>
          <w:color w:val="212529"/>
          <w:highlight w:val="white"/>
        </w:rPr>
        <w:t xml:space="preserve"> thu được trong giai đoạn trên.</w:t>
      </w:r>
    </w:p>
    <w:p w14:paraId="3BD76C7D" w14:textId="42626684" w:rsidR="00C72CEB" w:rsidRPr="00DD5AF0" w:rsidRDefault="000D20BA" w:rsidP="00D77A10">
      <w:pPr>
        <w:jc w:val="both"/>
        <w:rPr>
          <w:rFonts w:ascii="Times New Roman" w:eastAsia="Times New Roman" w:hAnsi="Times New Roman" w:cs="Times New Roman"/>
          <w:color w:val="212529"/>
          <w:highlight w:val="white"/>
        </w:rPr>
      </w:pPr>
      <w:r w:rsidRPr="00DD5AF0">
        <w:rPr>
          <w:rFonts w:ascii="Times New Roman" w:eastAsia="Times New Roman" w:hAnsi="Times New Roman" w:cs="Times New Roman"/>
          <w:color w:val="212529"/>
          <w:highlight w:val="white"/>
        </w:rPr>
        <w:t xml:space="preserve">Báo cáo Tài chính của </w:t>
      </w:r>
      <w:r w:rsidR="00084034">
        <w:rPr>
          <w:rFonts w:ascii="Times New Roman" w:eastAsia="Times New Roman" w:hAnsi="Times New Roman" w:cs="Times New Roman"/>
          <w:color w:val="212529"/>
          <w:highlight w:val="white"/>
        </w:rPr>
        <w:t>VCB</w:t>
      </w:r>
      <w:r w:rsidRPr="00DD5AF0">
        <w:rPr>
          <w:rFonts w:ascii="Times New Roman" w:eastAsia="Times New Roman" w:hAnsi="Times New Roman" w:cs="Times New Roman"/>
          <w:color w:val="212529"/>
          <w:highlight w:val="white"/>
        </w:rPr>
        <w:t xml:space="preserve"> cho thấy, lợi nhuận trước thuế quý 3/2021 của ngân hàng đạt 5.738 tỷ đồng, tăng 15,2% so với cùng kỳ. Lũy kế 9 tháng đầu năm, lợi nhuận của ngân hàng đạt 19.311 tỷ đồng, tăng 21% so với cùng kỳ năm ngoái với sự tăng trưởng tích cực ở hầu hết các mảng kinh doanh. </w:t>
      </w:r>
    </w:p>
    <w:p w14:paraId="5269D871" w14:textId="77777777" w:rsidR="00C72CEB" w:rsidRPr="00DD5AF0" w:rsidRDefault="000D20BA" w:rsidP="00D77A10">
      <w:pPr>
        <w:jc w:val="both"/>
        <w:rPr>
          <w:rFonts w:ascii="Times New Roman" w:eastAsia="Times New Roman" w:hAnsi="Times New Roman" w:cs="Times New Roman"/>
          <w:color w:val="212529"/>
          <w:highlight w:val="white"/>
        </w:rPr>
      </w:pPr>
      <w:r w:rsidRPr="00DD5AF0">
        <w:rPr>
          <w:rFonts w:ascii="Times New Roman" w:eastAsia="Times New Roman" w:hAnsi="Times New Roman" w:cs="Times New Roman"/>
          <w:color w:val="212529"/>
          <w:highlight w:val="white"/>
        </w:rPr>
        <w:t xml:space="preserve">Techcombank công bố lãi trước thuế quý 3 năm nay đạt 5.562 tỷ đồng, tăng 40% so với cùng kỳ năm trước. Lợi nhuận 9 tháng đạt 17.098 tỷ đồng, tăng 60% so với cùng kỳ năm 2020, tương đương 86% kế hoạch cả năm. Tiền gửi của khách hàng đạt 316.376 tỷ đồng, tăng 14%. </w:t>
      </w:r>
    </w:p>
    <w:p w14:paraId="638DCDA0" w14:textId="5DE1F1C8" w:rsidR="00C72CEB" w:rsidRPr="00DD5AF0" w:rsidRDefault="000D20BA" w:rsidP="00D77A10">
      <w:pPr>
        <w:shd w:val="clear" w:color="auto" w:fill="FFFFFF"/>
        <w:jc w:val="both"/>
        <w:rPr>
          <w:rFonts w:ascii="Times New Roman" w:eastAsia="Times New Roman" w:hAnsi="Times New Roman" w:cs="Times New Roman"/>
          <w:color w:val="333333"/>
        </w:rPr>
      </w:pPr>
      <w:r w:rsidRPr="00DD5AF0">
        <w:rPr>
          <w:rFonts w:ascii="Times New Roman" w:eastAsia="Times New Roman" w:hAnsi="Times New Roman" w:cs="Times New Roman"/>
          <w:color w:val="333333"/>
        </w:rPr>
        <w:t xml:space="preserve">Như vậy trong cả quý 3 và 9 tháng, </w:t>
      </w:r>
      <w:r w:rsidR="00084034">
        <w:rPr>
          <w:rFonts w:ascii="Times New Roman" w:eastAsia="Times New Roman" w:hAnsi="Times New Roman" w:cs="Times New Roman"/>
          <w:color w:val="333333"/>
        </w:rPr>
        <w:t>VCB</w:t>
      </w:r>
      <w:r w:rsidRPr="00DD5AF0">
        <w:rPr>
          <w:rFonts w:ascii="Times New Roman" w:eastAsia="Times New Roman" w:hAnsi="Times New Roman" w:cs="Times New Roman"/>
          <w:color w:val="333333"/>
        </w:rPr>
        <w:t xml:space="preserve"> đều giữ vững ngôi vị quán quân về lợi nhuận, không thấp hơn </w:t>
      </w:r>
      <w:r w:rsidR="00084034">
        <w:rPr>
          <w:rFonts w:ascii="Times New Roman" w:eastAsia="Times New Roman" w:hAnsi="Times New Roman" w:cs="Times New Roman"/>
          <w:color w:val="333333"/>
        </w:rPr>
        <w:t>TCB</w:t>
      </w:r>
      <w:r w:rsidRPr="00DD5AF0">
        <w:rPr>
          <w:rFonts w:ascii="Times New Roman" w:eastAsia="Times New Roman" w:hAnsi="Times New Roman" w:cs="Times New Roman"/>
          <w:color w:val="333333"/>
        </w:rPr>
        <w:t xml:space="preserve"> như dự báo.</w:t>
      </w:r>
    </w:p>
    <w:p w14:paraId="742717C2" w14:textId="718FA2F7" w:rsidR="00C72CEB" w:rsidRPr="00D86CA1" w:rsidRDefault="000D20BA" w:rsidP="00D77A10">
      <w:pPr>
        <w:shd w:val="clear" w:color="auto" w:fill="FFFFFF"/>
        <w:jc w:val="both"/>
        <w:rPr>
          <w:rFonts w:ascii="Times New Roman" w:eastAsia="Times New Roman" w:hAnsi="Times New Roman" w:cs="Times New Roman"/>
          <w:b/>
          <w:color w:val="333333"/>
        </w:rPr>
      </w:pPr>
      <w:r w:rsidRPr="00DD5AF0">
        <w:rPr>
          <w:rFonts w:ascii="Times New Roman" w:eastAsia="Times New Roman" w:hAnsi="Times New Roman" w:cs="Times New Roman"/>
          <w:b/>
          <w:color w:val="333333"/>
        </w:rPr>
        <w:t xml:space="preserve">So sánh tỷ lệ </w:t>
      </w:r>
      <w:r w:rsidR="00C9484F">
        <w:rPr>
          <w:rFonts w:ascii="Times New Roman" w:eastAsia="Times New Roman" w:hAnsi="Times New Roman" w:cs="Times New Roman"/>
          <w:b/>
          <w:color w:val="333333"/>
        </w:rPr>
        <w:t>CASA</w:t>
      </w:r>
      <w:r w:rsidRPr="00DD5AF0">
        <w:rPr>
          <w:rFonts w:ascii="Times New Roman" w:eastAsia="Times New Roman" w:hAnsi="Times New Roman" w:cs="Times New Roman"/>
          <w:b/>
          <w:color w:val="333333"/>
        </w:rPr>
        <w:t xml:space="preserve"> trong hệ thống Ngân hàng của Vietcombank và Techcombank</w:t>
      </w:r>
    </w:p>
    <w:p w14:paraId="1AC753FB" w14:textId="49CC1A04" w:rsidR="00C72CEB" w:rsidRDefault="000D20BA" w:rsidP="00D77A10">
      <w:pPr>
        <w:shd w:val="clear" w:color="auto" w:fill="FFFFFF"/>
        <w:jc w:val="both"/>
        <w:rPr>
          <w:rFonts w:ascii="Times New Roman" w:eastAsia="Times New Roman" w:hAnsi="Times New Roman" w:cs="Times New Roman"/>
          <w:color w:val="212529"/>
          <w:highlight w:val="white"/>
        </w:rPr>
      </w:pPr>
      <w:r w:rsidRPr="00DD5AF0">
        <w:rPr>
          <w:rFonts w:ascii="Times New Roman" w:eastAsia="Times New Roman" w:hAnsi="Times New Roman" w:cs="Times New Roman"/>
          <w:color w:val="212529"/>
          <w:highlight w:val="white"/>
        </w:rPr>
        <w:t xml:space="preserve">Từ cuối năm 2020, </w:t>
      </w:r>
      <w:r w:rsidRPr="00645F6A">
        <w:rPr>
          <w:rFonts w:ascii="Times New Roman" w:eastAsia="Times New Roman" w:hAnsi="Times New Roman" w:cs="Times New Roman"/>
          <w:color w:val="FF0000"/>
          <w:highlight w:val="white"/>
        </w:rPr>
        <w:t xml:space="preserve">tỷ lệ </w:t>
      </w:r>
      <w:r w:rsidR="00C9484F" w:rsidRPr="00645F6A">
        <w:rPr>
          <w:rFonts w:ascii="Times New Roman" w:eastAsia="Times New Roman" w:hAnsi="Times New Roman" w:cs="Times New Roman"/>
          <w:color w:val="FF0000"/>
          <w:highlight w:val="white"/>
        </w:rPr>
        <w:t>CASA</w:t>
      </w:r>
      <w:r w:rsidRPr="00645F6A">
        <w:rPr>
          <w:rFonts w:ascii="Times New Roman" w:eastAsia="Times New Roman" w:hAnsi="Times New Roman" w:cs="Times New Roman"/>
          <w:color w:val="FF0000"/>
          <w:highlight w:val="white"/>
        </w:rPr>
        <w:t xml:space="preserve"> </w:t>
      </w:r>
      <w:r w:rsidRPr="00645F6A">
        <w:rPr>
          <w:rFonts w:ascii="Times New Roman" w:eastAsia="Times New Roman" w:hAnsi="Times New Roman" w:cs="Times New Roman"/>
          <w:bCs/>
          <w:color w:val="FF0000"/>
          <w:highlight w:val="white"/>
        </w:rPr>
        <w:t>giảm</w:t>
      </w:r>
      <w:r w:rsidRPr="00C9484F">
        <w:rPr>
          <w:rFonts w:ascii="Times New Roman" w:eastAsia="Times New Roman" w:hAnsi="Times New Roman" w:cs="Times New Roman"/>
          <w:bCs/>
          <w:color w:val="212529"/>
          <w:highlight w:val="white"/>
        </w:rPr>
        <w:t xml:space="preserve"> </w:t>
      </w:r>
      <w:r w:rsidRPr="00DD5AF0">
        <w:rPr>
          <w:rFonts w:ascii="Times New Roman" w:eastAsia="Times New Roman" w:hAnsi="Times New Roman" w:cs="Times New Roman"/>
          <w:color w:val="212529"/>
          <w:highlight w:val="white"/>
        </w:rPr>
        <w:t xml:space="preserve">rõ hơn hẳn so với </w:t>
      </w:r>
      <w:r w:rsidR="00084034">
        <w:rPr>
          <w:rFonts w:ascii="Times New Roman" w:eastAsia="Times New Roman" w:hAnsi="Times New Roman" w:cs="Times New Roman"/>
          <w:color w:val="212529"/>
          <w:highlight w:val="white"/>
        </w:rPr>
        <w:t>TCB</w:t>
      </w:r>
      <w:r w:rsidRPr="00DD5AF0">
        <w:rPr>
          <w:rFonts w:ascii="Times New Roman" w:eastAsia="Times New Roman" w:hAnsi="Times New Roman" w:cs="Times New Roman"/>
          <w:color w:val="212529"/>
          <w:highlight w:val="white"/>
        </w:rPr>
        <w:t xml:space="preserve"> và MBB. Thông qua tỷ lệ </w:t>
      </w:r>
      <w:r w:rsidR="00C9484F">
        <w:rPr>
          <w:rFonts w:ascii="Times New Roman" w:eastAsia="Times New Roman" w:hAnsi="Times New Roman" w:cs="Times New Roman"/>
          <w:color w:val="212529"/>
          <w:highlight w:val="white"/>
        </w:rPr>
        <w:t>CASA</w:t>
      </w:r>
      <w:r w:rsidRPr="00DD5AF0">
        <w:rPr>
          <w:rFonts w:ascii="Times New Roman" w:eastAsia="Times New Roman" w:hAnsi="Times New Roman" w:cs="Times New Roman"/>
          <w:color w:val="212529"/>
          <w:highlight w:val="white"/>
        </w:rPr>
        <w:t xml:space="preserve"> cho thấy, Ngân hàng Vietcombank đang dần bị đẩy lùi về phía sau sao với các Ngân hàng có các ưu đãi phí dịch vụ, đặc biệt là dịch vụ miễn phí chuyển tiền online như T</w:t>
      </w:r>
      <w:r w:rsidR="00084034">
        <w:rPr>
          <w:rFonts w:ascii="Times New Roman" w:eastAsia="Times New Roman" w:hAnsi="Times New Roman" w:cs="Times New Roman"/>
          <w:color w:val="212529"/>
          <w:highlight w:val="white"/>
        </w:rPr>
        <w:t>CB</w:t>
      </w:r>
      <w:r w:rsidRPr="00DD5AF0">
        <w:rPr>
          <w:rFonts w:ascii="Times New Roman" w:eastAsia="Times New Roman" w:hAnsi="Times New Roman" w:cs="Times New Roman"/>
          <w:color w:val="212529"/>
          <w:highlight w:val="white"/>
        </w:rPr>
        <w:t xml:space="preserve">, MBB. </w:t>
      </w:r>
    </w:p>
    <w:p w14:paraId="5FCD2D13" w14:textId="5D470A3E" w:rsidR="009A4C7B" w:rsidRDefault="009A4C7B" w:rsidP="00D77A10">
      <w:pPr>
        <w:shd w:val="clear" w:color="auto" w:fill="FFFFFF"/>
        <w:jc w:val="both"/>
        <w:rPr>
          <w:rFonts w:ascii="Times New Roman" w:eastAsia="Times New Roman" w:hAnsi="Times New Roman" w:cs="Times New Roman"/>
          <w:color w:val="212529"/>
          <w:highlight w:val="white"/>
        </w:rPr>
      </w:pPr>
      <w:r w:rsidRPr="00DD5AF0">
        <w:rPr>
          <w:rFonts w:ascii="Times New Roman" w:eastAsia="Times New Roman" w:hAnsi="Times New Roman" w:cs="Times New Roman"/>
          <w:color w:val="212529"/>
          <w:highlight w:val="white"/>
        </w:rPr>
        <w:t xml:space="preserve">Hiện nay, ngân hàng </w:t>
      </w:r>
      <w:r>
        <w:rPr>
          <w:rFonts w:ascii="Times New Roman" w:eastAsia="Times New Roman" w:hAnsi="Times New Roman" w:cs="Times New Roman"/>
          <w:color w:val="212529"/>
          <w:highlight w:val="white"/>
        </w:rPr>
        <w:t>VCB</w:t>
      </w:r>
      <w:r w:rsidRPr="00DD5AF0">
        <w:rPr>
          <w:rFonts w:ascii="Times New Roman" w:eastAsia="Times New Roman" w:hAnsi="Times New Roman" w:cs="Times New Roman"/>
          <w:color w:val="212529"/>
          <w:highlight w:val="white"/>
        </w:rPr>
        <w:t xml:space="preserve"> có hơn 20 triệu khách hàng cá nhân, cao hơn rất nhiều sao với </w:t>
      </w:r>
      <w:r>
        <w:rPr>
          <w:rFonts w:ascii="Times New Roman" w:eastAsia="Times New Roman" w:hAnsi="Times New Roman" w:cs="Times New Roman"/>
          <w:color w:val="212529"/>
          <w:highlight w:val="white"/>
        </w:rPr>
        <w:t>TCB</w:t>
      </w:r>
      <w:r w:rsidRPr="00DD5AF0">
        <w:rPr>
          <w:rFonts w:ascii="Times New Roman" w:eastAsia="Times New Roman" w:hAnsi="Times New Roman" w:cs="Times New Roman"/>
          <w:color w:val="212529"/>
          <w:highlight w:val="white"/>
        </w:rPr>
        <w:t xml:space="preserve">, và trong đó khoảng 6 triệu khách hàng trong đó đã sử dụng dịch vụ thanh toán. Tuy nhiên, </w:t>
      </w:r>
      <w:r w:rsidRPr="00645F6A">
        <w:rPr>
          <w:rFonts w:ascii="Times New Roman" w:eastAsia="Times New Roman" w:hAnsi="Times New Roman" w:cs="Times New Roman"/>
          <w:color w:val="FF0000"/>
          <w:highlight w:val="white"/>
        </w:rPr>
        <w:t>số lượng sử dụng dịch vụ thanh toán qua kênh điện tử của khách hàng cá nhân của TCB lại vượt trội hơn so với VCB</w:t>
      </w:r>
      <w:r w:rsidRPr="00DD5AF0">
        <w:rPr>
          <w:rFonts w:ascii="Times New Roman" w:eastAsia="Times New Roman" w:hAnsi="Times New Roman" w:cs="Times New Roman"/>
          <w:color w:val="212529"/>
          <w:highlight w:val="white"/>
        </w:rPr>
        <w:t xml:space="preserve">. Nguyên nhân bởi, dịch vụ chuyển tiền miễn phí của </w:t>
      </w:r>
      <w:r>
        <w:rPr>
          <w:rFonts w:ascii="Times New Roman" w:eastAsia="Times New Roman" w:hAnsi="Times New Roman" w:cs="Times New Roman"/>
          <w:color w:val="212529"/>
          <w:highlight w:val="white"/>
        </w:rPr>
        <w:t>TCB</w:t>
      </w:r>
      <w:r w:rsidRPr="00DD5AF0">
        <w:rPr>
          <w:rFonts w:ascii="Times New Roman" w:eastAsia="Times New Roman" w:hAnsi="Times New Roman" w:cs="Times New Roman"/>
          <w:color w:val="212529"/>
          <w:highlight w:val="white"/>
        </w:rPr>
        <w:t>.</w:t>
      </w:r>
    </w:p>
    <w:p w14:paraId="793CA204" w14:textId="4A33896D" w:rsidR="00B552C3" w:rsidRPr="00DD5AF0" w:rsidRDefault="00B552C3" w:rsidP="00D77A10">
      <w:pPr>
        <w:shd w:val="clear" w:color="auto" w:fill="FFFFFF"/>
        <w:jc w:val="both"/>
        <w:rPr>
          <w:rFonts w:ascii="Times New Roman" w:eastAsia="Times New Roman" w:hAnsi="Times New Roman" w:cs="Times New Roman"/>
          <w:color w:val="212529"/>
          <w:highlight w:val="white"/>
        </w:rPr>
      </w:pPr>
      <w:r>
        <w:rPr>
          <w:noProof/>
        </w:rPr>
        <w:lastRenderedPageBreak/>
        <w:drawing>
          <wp:inline distT="0" distB="0" distL="0" distR="0" wp14:anchorId="362BF0B1" wp14:editId="2850316D">
            <wp:extent cx="5932805" cy="3168015"/>
            <wp:effectExtent l="0" t="0" r="10795" b="13335"/>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DD3FFF" w14:textId="3F76B139" w:rsidR="00C72CEB" w:rsidRPr="00DD5AF0" w:rsidRDefault="000D20BA" w:rsidP="00D77A10">
      <w:pPr>
        <w:shd w:val="clear" w:color="auto" w:fill="FFFFFF"/>
        <w:jc w:val="both"/>
        <w:rPr>
          <w:rFonts w:ascii="Times New Roman" w:eastAsia="Times New Roman" w:hAnsi="Times New Roman" w:cs="Times New Roman"/>
          <w:color w:val="212529"/>
          <w:highlight w:val="white"/>
        </w:rPr>
      </w:pPr>
      <w:r w:rsidRPr="00DD5AF0">
        <w:rPr>
          <w:rFonts w:ascii="Times New Roman" w:eastAsia="Times New Roman" w:hAnsi="Times New Roman" w:cs="Times New Roman"/>
          <w:color w:val="212529"/>
          <w:highlight w:val="white"/>
        </w:rPr>
        <w:t>Từ đó thấy được, trong thời đại 4.0 ngay nay, mọi thứ luôn luôn được phát triển và phải phát triển. Nếu cứ không thay đổi, không phát triển thì sẽ bị đẩy thụt lùi. Và đó là lý do V</w:t>
      </w:r>
      <w:r w:rsidR="00CC40CF">
        <w:rPr>
          <w:rFonts w:ascii="Times New Roman" w:eastAsia="Times New Roman" w:hAnsi="Times New Roman" w:cs="Times New Roman"/>
          <w:color w:val="212529"/>
          <w:highlight w:val="white"/>
        </w:rPr>
        <w:t>CB</w:t>
      </w:r>
      <w:r w:rsidRPr="00DD5AF0">
        <w:rPr>
          <w:rFonts w:ascii="Times New Roman" w:eastAsia="Times New Roman" w:hAnsi="Times New Roman" w:cs="Times New Roman"/>
          <w:color w:val="212529"/>
          <w:highlight w:val="white"/>
        </w:rPr>
        <w:t xml:space="preserve"> phải thay đổi hướng đi, miễn giảm hoàn toàn phí chuyển tiền online để cạnh tranh được cùng với các công ty đi sau như T</w:t>
      </w:r>
      <w:r w:rsidR="00CC40CF">
        <w:rPr>
          <w:rFonts w:ascii="Times New Roman" w:eastAsia="Times New Roman" w:hAnsi="Times New Roman" w:cs="Times New Roman"/>
          <w:color w:val="212529"/>
          <w:highlight w:val="white"/>
        </w:rPr>
        <w:t>CB</w:t>
      </w:r>
      <w:r w:rsidRPr="00DD5AF0">
        <w:rPr>
          <w:rFonts w:ascii="Times New Roman" w:eastAsia="Times New Roman" w:hAnsi="Times New Roman" w:cs="Times New Roman"/>
          <w:color w:val="212529"/>
          <w:highlight w:val="white"/>
        </w:rPr>
        <w:t>, MBB...</w:t>
      </w:r>
    </w:p>
    <w:p w14:paraId="358B0BEE" w14:textId="3A7E3642" w:rsidR="00C72CEB" w:rsidRDefault="000D20BA" w:rsidP="00D77A10">
      <w:pPr>
        <w:shd w:val="clear" w:color="auto" w:fill="FFFFFF"/>
        <w:jc w:val="both"/>
        <w:rPr>
          <w:rFonts w:ascii="Times New Roman" w:eastAsia="Times New Roman" w:hAnsi="Times New Roman" w:cs="Times New Roman"/>
          <w:color w:val="212529"/>
          <w:sz w:val="24"/>
          <w:szCs w:val="24"/>
          <w:highlight w:val="white"/>
        </w:rPr>
      </w:pPr>
      <w:r w:rsidRPr="00DD5AF0">
        <w:rPr>
          <w:rFonts w:ascii="Times New Roman" w:eastAsia="Times New Roman" w:hAnsi="Times New Roman" w:cs="Times New Roman"/>
          <w:color w:val="212529"/>
          <w:highlight w:val="white"/>
        </w:rPr>
        <w:t xml:space="preserve">Với chính sách </w:t>
      </w:r>
      <w:r w:rsidR="00C9484F">
        <w:rPr>
          <w:rFonts w:ascii="Times New Roman" w:eastAsia="Times New Roman" w:hAnsi="Times New Roman" w:cs="Times New Roman"/>
          <w:color w:val="212529"/>
          <w:highlight w:val="white"/>
        </w:rPr>
        <w:t>“</w:t>
      </w:r>
      <w:r w:rsidRPr="00DD5AF0">
        <w:rPr>
          <w:rFonts w:ascii="Times New Roman" w:eastAsia="Times New Roman" w:hAnsi="Times New Roman" w:cs="Times New Roman"/>
          <w:color w:val="212529"/>
          <w:highlight w:val="white"/>
        </w:rPr>
        <w:t>zero free</w:t>
      </w:r>
      <w:r w:rsidR="00C9484F">
        <w:rPr>
          <w:rFonts w:ascii="Times New Roman" w:eastAsia="Times New Roman" w:hAnsi="Times New Roman" w:cs="Times New Roman"/>
          <w:color w:val="212529"/>
          <w:highlight w:val="white"/>
        </w:rPr>
        <w:t>”</w:t>
      </w:r>
      <w:r w:rsidRPr="00DD5AF0">
        <w:rPr>
          <w:rFonts w:ascii="Times New Roman" w:eastAsia="Times New Roman" w:hAnsi="Times New Roman" w:cs="Times New Roman"/>
          <w:color w:val="212529"/>
          <w:highlight w:val="white"/>
        </w:rPr>
        <w:t xml:space="preserve"> sắp được triển khai, VCB và các ngân hàng quốc doanh đã khiến cho cuộc đua </w:t>
      </w:r>
      <w:r w:rsidR="00C9484F">
        <w:rPr>
          <w:rFonts w:ascii="Times New Roman" w:eastAsia="Times New Roman" w:hAnsi="Times New Roman" w:cs="Times New Roman"/>
          <w:color w:val="212529"/>
          <w:highlight w:val="white"/>
        </w:rPr>
        <w:t>CASA</w:t>
      </w:r>
      <w:r w:rsidRPr="00DD5AF0">
        <w:rPr>
          <w:rFonts w:ascii="Times New Roman" w:eastAsia="Times New Roman" w:hAnsi="Times New Roman" w:cs="Times New Roman"/>
          <w:color w:val="212529"/>
          <w:highlight w:val="white"/>
        </w:rPr>
        <w:t xml:space="preserve"> trong toàn ngành nóng hơn bao giờ hết. Với tệp dữ liệu khách hàng lớn (chiếm gần 20% dân số) đang sử dụng dịch vụ của VCB; mảng tiền gửi thanh toán của VCB còn rất nhiều dư địa phát triển, chính sách này có thể giúp VCB phát huy hết tiềm năng vốn có và rất có thể tiếp tục dẫn đầu toàn hệ thống ngân hàng trong những năm tới. Đối với các ngân hàng khối tư nhân, việc các ngân hàng quốc doanh tham gia vào mảng chuyển tiền không tốn phí có thể làm mất đi một lượng lớn khách hàng và do đó đòi hỏi các ngân hàng tư nhân tạo nhiều các tiện ích, ưu đãi khác để thu hút khách hàng. Hướng đi mới của các ngân hàng quốc doanh đặc biệt là VCB đã làm cho cuộc chơi toàn ngành thay đổi. Liệu các ngân hàng quốc doanh có thể lấy lại vị thế dẫn đầu, các ngân hàng tư nhân có tiếp tục gây sức ép cạnh tranh lên khối quốc doanh hay không chúng ta cùng chờ xem</w:t>
      </w:r>
      <w:r>
        <w:rPr>
          <w:rFonts w:ascii="Times New Roman" w:eastAsia="Times New Roman" w:hAnsi="Times New Roman" w:cs="Times New Roman"/>
          <w:color w:val="212529"/>
          <w:sz w:val="24"/>
          <w:szCs w:val="24"/>
          <w:highlight w:val="white"/>
        </w:rPr>
        <w:t>.</w:t>
      </w:r>
    </w:p>
    <w:p w14:paraId="325575F7" w14:textId="77777777" w:rsidR="00C72CEB" w:rsidRDefault="00C72CEB">
      <w:pPr>
        <w:shd w:val="clear" w:color="auto" w:fill="FFFFFF"/>
        <w:spacing w:after="0" w:line="240" w:lineRule="auto"/>
        <w:jc w:val="both"/>
        <w:rPr>
          <w:rFonts w:ascii="Times New Roman" w:eastAsia="Times New Roman" w:hAnsi="Times New Roman" w:cs="Times New Roman"/>
          <w:color w:val="212529"/>
          <w:sz w:val="24"/>
          <w:szCs w:val="24"/>
          <w:highlight w:val="white"/>
        </w:rPr>
      </w:pPr>
    </w:p>
    <w:p w14:paraId="139B49AB" w14:textId="77777777" w:rsidR="00C72CEB" w:rsidRDefault="00C72CEB">
      <w:pPr>
        <w:shd w:val="clear" w:color="auto" w:fill="FFFFFF"/>
        <w:spacing w:after="0" w:line="240" w:lineRule="auto"/>
        <w:jc w:val="both"/>
        <w:rPr>
          <w:rFonts w:ascii="Times New Roman" w:eastAsia="Times New Roman" w:hAnsi="Times New Roman" w:cs="Times New Roman"/>
          <w:color w:val="333333"/>
          <w:sz w:val="24"/>
          <w:szCs w:val="24"/>
        </w:rPr>
      </w:pPr>
    </w:p>
    <w:p w14:paraId="4765DCCB" w14:textId="77777777" w:rsidR="00C72CEB" w:rsidRDefault="00C72CEB">
      <w:pPr>
        <w:jc w:val="both"/>
        <w:rPr>
          <w:rFonts w:ascii="Times New Roman" w:eastAsia="Times New Roman" w:hAnsi="Times New Roman" w:cs="Times New Roman"/>
          <w:color w:val="212529"/>
          <w:sz w:val="24"/>
          <w:szCs w:val="24"/>
          <w:highlight w:val="white"/>
        </w:rPr>
      </w:pPr>
    </w:p>
    <w:p w14:paraId="29D43003" w14:textId="77777777" w:rsidR="00C72CEB" w:rsidRDefault="00C72CEB">
      <w:pPr>
        <w:rPr>
          <w:rFonts w:ascii="Times New Roman" w:eastAsia="Times New Roman" w:hAnsi="Times New Roman" w:cs="Times New Roman"/>
          <w:sz w:val="24"/>
          <w:szCs w:val="24"/>
        </w:rPr>
      </w:pPr>
    </w:p>
    <w:p w14:paraId="4C42BBE1" w14:textId="77777777" w:rsidR="00C72CEB" w:rsidRDefault="00C72CEB">
      <w:pPr>
        <w:rPr>
          <w:rFonts w:ascii="Times New Roman" w:eastAsia="Times New Roman" w:hAnsi="Times New Roman" w:cs="Times New Roman"/>
          <w:sz w:val="24"/>
          <w:szCs w:val="24"/>
        </w:rPr>
      </w:pPr>
    </w:p>
    <w:sectPr w:rsidR="00C72C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F158E"/>
    <w:multiLevelType w:val="multilevel"/>
    <w:tmpl w:val="36269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EB"/>
    <w:rsid w:val="00006EF6"/>
    <w:rsid w:val="00084034"/>
    <w:rsid w:val="000D20BA"/>
    <w:rsid w:val="00130857"/>
    <w:rsid w:val="00195410"/>
    <w:rsid w:val="00645F6A"/>
    <w:rsid w:val="00705A76"/>
    <w:rsid w:val="0074311A"/>
    <w:rsid w:val="00803442"/>
    <w:rsid w:val="009A4C7B"/>
    <w:rsid w:val="009A6D82"/>
    <w:rsid w:val="00AA31AD"/>
    <w:rsid w:val="00B552C3"/>
    <w:rsid w:val="00BD47FE"/>
    <w:rsid w:val="00BF6BAC"/>
    <w:rsid w:val="00C72CEB"/>
    <w:rsid w:val="00C9484F"/>
    <w:rsid w:val="00CC40CF"/>
    <w:rsid w:val="00CD71FE"/>
    <w:rsid w:val="00CF7390"/>
    <w:rsid w:val="00D07598"/>
    <w:rsid w:val="00D47962"/>
    <w:rsid w:val="00D77A10"/>
    <w:rsid w:val="00D86CA1"/>
    <w:rsid w:val="00DD5AF0"/>
    <w:rsid w:val="00DE1D18"/>
    <w:rsid w:val="00E06C45"/>
    <w:rsid w:val="00F45C75"/>
    <w:rsid w:val="00FD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CF46"/>
  <w15:docId w15:val="{DE84B88D-E1FF-40E8-9E39-9454EFFE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32DB3"/>
    <w:pPr>
      <w:keepNext/>
      <w:keepLines/>
      <w:numPr>
        <w:ilvl w:val="2"/>
        <w:numId w:val="1"/>
      </w:numPr>
      <w:spacing w:before="40" w:after="0" w:line="360" w:lineRule="auto"/>
      <w:ind w:left="357" w:hanging="357"/>
      <w:outlineLvl w:val="2"/>
    </w:pPr>
    <w:rPr>
      <w:rFonts w:ascii="Times New Roman" w:eastAsiaTheme="majorEastAsia" w:hAnsi="Times New Roman" w:cstheme="majorBidi"/>
      <w:color w:val="70AD47" w:themeColor="accent6"/>
      <w:sz w:val="26"/>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632DB3"/>
    <w:rPr>
      <w:rFonts w:ascii="Times New Roman" w:eastAsiaTheme="majorEastAsia" w:hAnsi="Times New Roman" w:cstheme="majorBidi"/>
      <w:color w:val="70AD47" w:themeColor="accent6"/>
      <w:sz w:val="26"/>
      <w:szCs w:val="24"/>
    </w:rPr>
  </w:style>
  <w:style w:type="table" w:styleId="TableGrid">
    <w:name w:val="Table Grid"/>
    <w:basedOn w:val="TableNormal"/>
    <w:uiPriority w:val="39"/>
    <w:rsid w:val="00233C14"/>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NormalWeb">
    <w:name w:val="Normal (Web)"/>
    <w:basedOn w:val="Normal"/>
    <w:uiPriority w:val="99"/>
    <w:unhideWhenUsed/>
    <w:rsid w:val="00512CF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DD5AF0"/>
    <w:rPr>
      <w:sz w:val="16"/>
      <w:szCs w:val="16"/>
    </w:rPr>
  </w:style>
  <w:style w:type="paragraph" w:styleId="CommentText">
    <w:name w:val="annotation text"/>
    <w:basedOn w:val="Normal"/>
    <w:link w:val="CommentTextChar"/>
    <w:uiPriority w:val="99"/>
    <w:semiHidden/>
    <w:unhideWhenUsed/>
    <w:rsid w:val="00DD5AF0"/>
    <w:pPr>
      <w:spacing w:line="240" w:lineRule="auto"/>
    </w:pPr>
    <w:rPr>
      <w:sz w:val="20"/>
      <w:szCs w:val="20"/>
    </w:rPr>
  </w:style>
  <w:style w:type="character" w:customStyle="1" w:styleId="CommentTextChar">
    <w:name w:val="Comment Text Char"/>
    <w:basedOn w:val="DefaultParagraphFont"/>
    <w:link w:val="CommentText"/>
    <w:uiPriority w:val="99"/>
    <w:semiHidden/>
    <w:rsid w:val="00DD5AF0"/>
    <w:rPr>
      <w:sz w:val="20"/>
      <w:szCs w:val="20"/>
    </w:rPr>
  </w:style>
  <w:style w:type="paragraph" w:styleId="CommentSubject">
    <w:name w:val="annotation subject"/>
    <w:basedOn w:val="CommentText"/>
    <w:next w:val="CommentText"/>
    <w:link w:val="CommentSubjectChar"/>
    <w:uiPriority w:val="99"/>
    <w:semiHidden/>
    <w:unhideWhenUsed/>
    <w:rsid w:val="00DD5AF0"/>
    <w:rPr>
      <w:b/>
      <w:bCs/>
    </w:rPr>
  </w:style>
  <w:style w:type="character" w:customStyle="1" w:styleId="CommentSubjectChar">
    <w:name w:val="Comment Subject Char"/>
    <w:basedOn w:val="CommentTextChar"/>
    <w:link w:val="CommentSubject"/>
    <w:uiPriority w:val="99"/>
    <w:semiHidden/>
    <w:rsid w:val="00DD5AF0"/>
    <w:rPr>
      <w:b/>
      <w:bCs/>
      <w:sz w:val="20"/>
      <w:szCs w:val="20"/>
    </w:rPr>
  </w:style>
  <w:style w:type="paragraph" w:styleId="Caption">
    <w:name w:val="caption"/>
    <w:basedOn w:val="Normal"/>
    <w:next w:val="Normal"/>
    <w:uiPriority w:val="35"/>
    <w:unhideWhenUsed/>
    <w:qFormat/>
    <w:rsid w:val="00CC40C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BI&#7874;U%20&#272;&#7890;%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wnloads\BI&#7874;U%20&#272;&#789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2418393294605"/>
          <c:y val="0.19858156028368795"/>
          <c:w val="0.87212750743610035"/>
          <c:h val="0.64335920775860467"/>
        </c:manualLayout>
      </c:layout>
      <c:barChart>
        <c:barDir val="col"/>
        <c:grouping val="stacked"/>
        <c:varyColors val="0"/>
        <c:ser>
          <c:idx val="1"/>
          <c:order val="0"/>
          <c:tx>
            <c:strRef>
              <c:f>Sheet1!$X$9</c:f>
              <c:strCache>
                <c:ptCount val="1"/>
                <c:pt idx="0">
                  <c:v>Lãi thuần từ hoạt động thanh toán</c:v>
                </c:pt>
              </c:strCache>
            </c:strRef>
          </c:tx>
          <c:spPr>
            <a:solidFill>
              <a:schemeClr val="accent6"/>
            </a:solidFill>
            <a:ln>
              <a:noFill/>
            </a:ln>
            <a:effectLst>
              <a:outerShdw blurRad="50800" dist="38100" dir="5400000" algn="t"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tx1">
                        <a:lumMod val="75000"/>
                        <a:lumOff val="2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Sheet1!$W$10:$W$14</c:f>
              <c:numCache>
                <c:formatCode>General</c:formatCode>
                <c:ptCount val="5"/>
                <c:pt idx="0">
                  <c:v>2016</c:v>
                </c:pt>
                <c:pt idx="1">
                  <c:v>2017</c:v>
                </c:pt>
                <c:pt idx="2">
                  <c:v>2018</c:v>
                </c:pt>
                <c:pt idx="3">
                  <c:v>2019</c:v>
                </c:pt>
                <c:pt idx="4">
                  <c:v>2020</c:v>
                </c:pt>
              </c:numCache>
            </c:numRef>
          </c:cat>
          <c:val>
            <c:numRef>
              <c:f>Sheet1!$X$10:$X$14</c:f>
              <c:numCache>
                <c:formatCode>General</c:formatCode>
                <c:ptCount val="5"/>
                <c:pt idx="0">
                  <c:v>1049</c:v>
                </c:pt>
                <c:pt idx="1">
                  <c:v>1232</c:v>
                </c:pt>
                <c:pt idx="2">
                  <c:v>1655</c:v>
                </c:pt>
                <c:pt idx="3">
                  <c:v>2290</c:v>
                </c:pt>
                <c:pt idx="4">
                  <c:v>2782</c:v>
                </c:pt>
              </c:numCache>
            </c:numRef>
          </c:val>
          <c:extLst>
            <c:ext xmlns:c16="http://schemas.microsoft.com/office/drawing/2014/chart" uri="{C3380CC4-5D6E-409C-BE32-E72D297353CC}">
              <c16:uniqueId val="{00000000-FDD9-44B7-A06F-2E3AEB27C414}"/>
            </c:ext>
          </c:extLst>
        </c:ser>
        <c:ser>
          <c:idx val="2"/>
          <c:order val="1"/>
          <c:tx>
            <c:strRef>
              <c:f>Sheet1!$Y$9</c:f>
              <c:strCache>
                <c:ptCount val="1"/>
                <c:pt idx="0">
                  <c:v>Lãi thuần từ hoạt động khác</c:v>
                </c:pt>
              </c:strCache>
            </c:strRef>
          </c:tx>
          <c:spPr>
            <a:solidFill>
              <a:schemeClr val="accent6">
                <a:lumMod val="60000"/>
                <a:lumOff val="40000"/>
              </a:schemeClr>
            </a:solidFill>
            <a:ln>
              <a:noFill/>
            </a:ln>
            <a:effectLst/>
          </c:spPr>
          <c:invertIfNegative val="0"/>
          <c:dLbls>
            <c:dLbl>
              <c:idx val="0"/>
              <c:layout>
                <c:manualLayout>
                  <c:x val="-1.9622307125707791E-17"/>
                  <c:y val="-9.9290780141844059E-2"/>
                </c:manualLayout>
              </c:layout>
              <c:tx>
                <c:rich>
                  <a:bodyPr/>
                  <a:lstStyle/>
                  <a:p>
                    <a:r>
                      <a:rPr lang="en-US"/>
                      <a:t>1992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DD9-44B7-A06F-2E3AEB27C414}"/>
                </c:ext>
              </c:extLst>
            </c:dLbl>
            <c:dLbl>
              <c:idx val="1"/>
              <c:layout>
                <c:manualLayout>
                  <c:x val="0"/>
                  <c:y val="-0.11347517730496454"/>
                </c:manualLayout>
              </c:layout>
              <c:tx>
                <c:rich>
                  <a:bodyPr/>
                  <a:lstStyle/>
                  <a:p>
                    <a:r>
                      <a:rPr lang="en-US"/>
                      <a:t>2356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DD9-44B7-A06F-2E3AEB27C414}"/>
                </c:ext>
              </c:extLst>
            </c:dLbl>
            <c:dLbl>
              <c:idx val="2"/>
              <c:layout>
                <c:manualLayout>
                  <c:x val="-7.8489228502831165E-17"/>
                  <c:y val="-0.14657210401891252"/>
                </c:manualLayout>
              </c:layout>
              <c:tx>
                <c:rich>
                  <a:bodyPr/>
                  <a:lstStyle/>
                  <a:p>
                    <a:r>
                      <a:rPr lang="en-US"/>
                      <a:t>3182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DD9-44B7-A06F-2E3AEB27C414}"/>
                </c:ext>
              </c:extLst>
            </c:dLbl>
            <c:dLbl>
              <c:idx val="3"/>
              <c:layout>
                <c:manualLayout>
                  <c:x val="0"/>
                  <c:y val="-0.15602836879432627"/>
                </c:manualLayout>
              </c:layout>
              <c:tx>
                <c:rich>
                  <a:bodyPr/>
                  <a:lstStyle/>
                  <a:p>
                    <a:r>
                      <a:rPr lang="en-US"/>
                      <a:t>4136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DD9-44B7-A06F-2E3AEB27C414}"/>
                </c:ext>
              </c:extLst>
            </c:dLbl>
            <c:dLbl>
              <c:idx val="4"/>
              <c:layout>
                <c:manualLayout>
                  <c:x val="2.1405814332316466E-3"/>
                  <c:y val="-0.21276595744680851"/>
                </c:manualLayout>
              </c:layout>
              <c:tx>
                <c:rich>
                  <a:bodyPr/>
                  <a:lstStyle/>
                  <a:p>
                    <a:r>
                      <a:rPr lang="en-US"/>
                      <a:t>6320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DD9-44B7-A06F-2E3AEB27C414}"/>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Sheet1!$W$10:$W$14</c:f>
              <c:numCache>
                <c:formatCode>General</c:formatCode>
                <c:ptCount val="5"/>
                <c:pt idx="0">
                  <c:v>2016</c:v>
                </c:pt>
                <c:pt idx="1">
                  <c:v>2017</c:v>
                </c:pt>
                <c:pt idx="2">
                  <c:v>2018</c:v>
                </c:pt>
                <c:pt idx="3">
                  <c:v>2019</c:v>
                </c:pt>
                <c:pt idx="4">
                  <c:v>2020</c:v>
                </c:pt>
              </c:numCache>
            </c:numRef>
          </c:cat>
          <c:val>
            <c:numRef>
              <c:f>Sheet1!$Y$10:$Y$14</c:f>
              <c:numCache>
                <c:formatCode>General</c:formatCode>
                <c:ptCount val="5"/>
                <c:pt idx="0">
                  <c:v>943</c:v>
                </c:pt>
                <c:pt idx="1">
                  <c:v>1124</c:v>
                </c:pt>
                <c:pt idx="2">
                  <c:v>1527</c:v>
                </c:pt>
                <c:pt idx="3">
                  <c:v>1846</c:v>
                </c:pt>
                <c:pt idx="4">
                  <c:v>3538</c:v>
                </c:pt>
              </c:numCache>
            </c:numRef>
          </c:val>
          <c:extLst>
            <c:ext xmlns:c16="http://schemas.microsoft.com/office/drawing/2014/chart" uri="{C3380CC4-5D6E-409C-BE32-E72D297353CC}">
              <c16:uniqueId val="{00000006-FDD9-44B7-A06F-2E3AEB27C414}"/>
            </c:ext>
          </c:extLst>
        </c:ser>
        <c:dLbls>
          <c:showLegendKey val="0"/>
          <c:showVal val="0"/>
          <c:showCatName val="0"/>
          <c:showSerName val="0"/>
          <c:showPercent val="0"/>
          <c:showBubbleSize val="0"/>
        </c:dLbls>
        <c:gapWidth val="109"/>
        <c:overlap val="100"/>
        <c:axId val="155774288"/>
        <c:axId val="20458418"/>
      </c:barChart>
      <c:catAx>
        <c:axId val="155774288"/>
        <c:scaling>
          <c:orientation val="minMax"/>
        </c:scaling>
        <c:delete val="0"/>
        <c:axPos val="b"/>
        <c:title>
          <c:tx>
            <c:rich>
              <a:bodyPr rot="0" spcFirstLastPara="0" vertOverflow="ellipsis" vert="horz" wrap="square" anchor="ctr" anchorCtr="1"/>
              <a:lstStyle/>
              <a:p>
                <a:pPr defTabSz="914400">
                  <a:defRPr lang="en-US" sz="1000" b="0" i="1"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r>
                  <a:rPr lang="vi-VN" altLang="en-US" i="1">
                    <a:latin typeface="Arial" panose="020B0604020202020204" pitchFamily="7" charset="0"/>
                    <a:ea typeface="Arial" panose="020B0604020202020204" pitchFamily="7" charset="0"/>
                    <a:cs typeface="Arial" panose="020B0604020202020204" pitchFamily="7" charset="0"/>
                    <a:sym typeface="Arial" panose="020B0604020202020204" pitchFamily="7" charset="0"/>
                  </a:rPr>
                  <a:t>Nguồn: CafeF</a:t>
                </a:r>
              </a:p>
            </c:rich>
          </c:tx>
          <c:layout>
            <c:manualLayout>
              <c:xMode val="edge"/>
              <c:yMode val="edge"/>
              <c:x val="0.82172446254343434"/>
              <c:y val="0.92215334785279501"/>
            </c:manualLayout>
          </c:layout>
          <c:overlay val="0"/>
          <c:spPr>
            <a:noFill/>
            <a:ln>
              <a:noFill/>
            </a:ln>
            <a:effectLst/>
          </c:spPr>
          <c:txPr>
            <a:bodyPr rot="0" spcFirstLastPara="0" vertOverflow="ellipsis" vert="horz" wrap="square" anchor="ctr" anchorCtr="1"/>
            <a:lstStyle/>
            <a:p>
              <a:pPr defTabSz="914400">
                <a:defRPr lang="en-US" sz="1000" b="0" i="1"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crossAx val="20458418"/>
        <c:crosses val="autoZero"/>
        <c:auto val="1"/>
        <c:lblAlgn val="ctr"/>
        <c:lblOffset val="100"/>
        <c:noMultiLvlLbl val="0"/>
      </c:catAx>
      <c:valAx>
        <c:axId val="20458418"/>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r>
                  <a:rPr lang="vi-VN" altLang="en-US" i="0">
                    <a:latin typeface="Arial" panose="020B0604020202020204" pitchFamily="7" charset="0"/>
                    <a:ea typeface="Arial" panose="020B0604020202020204" pitchFamily="7" charset="0"/>
                    <a:cs typeface="Arial" panose="020B0604020202020204" pitchFamily="7" charset="0"/>
                    <a:sym typeface="Arial" panose="020B0604020202020204" pitchFamily="7" charset="0"/>
                  </a:rPr>
                  <a:t>Tỷ đồng</a:t>
                </a:r>
              </a:p>
            </c:rich>
          </c:tx>
          <c:layout>
            <c:manualLayout>
              <c:xMode val="edge"/>
              <c:yMode val="edge"/>
              <c:x val="8.5362623600045689E-3"/>
              <c:y val="0.39229426108970428"/>
            </c:manualLayout>
          </c:layout>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1" i="0"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crossAx val="155774288"/>
        <c:crosses val="autoZero"/>
        <c:crossBetween val="between"/>
      </c:valAx>
      <c:spPr>
        <a:noFill/>
        <a:ln>
          <a:solidFill>
            <a:schemeClr val="bg1">
              <a:lumMod val="75000"/>
            </a:schemeClr>
          </a:solid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legendEntry>
      <c:layout>
        <c:manualLayout>
          <c:xMode val="edge"/>
          <c:yMode val="edge"/>
          <c:x val="0.16107672193850567"/>
          <c:y val="8.6184918374564892E-2"/>
          <c:w val="0.72991139941393657"/>
          <c:h val="7.5411477820591571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lang="en-US" i="0">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0401218310731"/>
          <c:y val="0.24808244457432432"/>
          <c:w val="0.85907155215787478"/>
          <c:h val="0.55828594894584294"/>
        </c:manualLayout>
      </c:layout>
      <c:lineChart>
        <c:grouping val="standard"/>
        <c:varyColors val="0"/>
        <c:ser>
          <c:idx val="0"/>
          <c:order val="0"/>
          <c:tx>
            <c:strRef>
              <c:f>'[Data thực hành tại lớp.xlsx]Sheet1'!$B$14</c:f>
              <c:strCache>
                <c:ptCount val="1"/>
                <c:pt idx="0">
                  <c:v>TCB</c:v>
                </c:pt>
              </c:strCache>
            </c:strRef>
          </c:tx>
          <c:spPr>
            <a:ln w="28575" cap="rnd">
              <a:solidFill>
                <a:schemeClr val="accent1">
                  <a:lumMod val="50000"/>
                  <a:alpha val="97000"/>
                </a:schemeClr>
              </a:solidFill>
              <a:prstDash val="solid"/>
              <a:round/>
            </a:ln>
            <a:effectLst/>
          </c:spPr>
          <c:marker>
            <c:symbol val="diamond"/>
            <c:size val="7"/>
            <c:spPr>
              <a:solidFill>
                <a:srgbClr val="FF0000"/>
              </a:solidFill>
              <a:ln w="9525">
                <a:noFill/>
              </a:ln>
              <a:effectLst/>
            </c:spPr>
          </c:marker>
          <c:dLbls>
            <c:delete val="1"/>
          </c:dLbls>
          <c:cat>
            <c:strRef>
              <c:f>Sheet1!$C$13:$F$13</c:f>
              <c:strCache>
                <c:ptCount val="4"/>
                <c:pt idx="0">
                  <c:v>Quý 3/2020</c:v>
                </c:pt>
                <c:pt idx="1">
                  <c:v> Quý 4/ 2020</c:v>
                </c:pt>
                <c:pt idx="2">
                  <c:v> Quý 1/2021</c:v>
                </c:pt>
                <c:pt idx="3">
                  <c:v> Quý 3/2021</c:v>
                </c:pt>
              </c:strCache>
            </c:strRef>
          </c:cat>
          <c:val>
            <c:numRef>
              <c:f>'[Data thực hành tại lớp.xlsx]Sheet1'!$C$14:$F$14</c:f>
              <c:numCache>
                <c:formatCode>General</c:formatCode>
                <c:ptCount val="4"/>
                <c:pt idx="0">
                  <c:v>0.31209999999999999</c:v>
                </c:pt>
                <c:pt idx="1">
                  <c:v>0.46100000000000002</c:v>
                </c:pt>
                <c:pt idx="2">
                  <c:v>0.43</c:v>
                </c:pt>
                <c:pt idx="3">
                  <c:v>0.49</c:v>
                </c:pt>
              </c:numCache>
            </c:numRef>
          </c:val>
          <c:smooth val="0"/>
          <c:extLst>
            <c:ext xmlns:c16="http://schemas.microsoft.com/office/drawing/2014/chart" uri="{C3380CC4-5D6E-409C-BE32-E72D297353CC}">
              <c16:uniqueId val="{00000000-670C-4C1C-8687-955824B044AB}"/>
            </c:ext>
          </c:extLst>
        </c:ser>
        <c:ser>
          <c:idx val="1"/>
          <c:order val="1"/>
          <c:tx>
            <c:strRef>
              <c:f>'[Data thực hành tại lớp.xlsx]Sheet1'!$B$15</c:f>
              <c:strCache>
                <c:ptCount val="1"/>
                <c:pt idx="0">
                  <c:v>VCB</c:v>
                </c:pt>
              </c:strCache>
            </c:strRef>
          </c:tx>
          <c:spPr>
            <a:ln w="28575" cap="flat" cmpd="sng">
              <a:solidFill>
                <a:schemeClr val="accent1">
                  <a:lumMod val="50000"/>
                  <a:alpha val="99000"/>
                </a:schemeClr>
              </a:solidFill>
              <a:prstDash val="solid"/>
              <a:round/>
            </a:ln>
            <a:effectLst/>
          </c:spPr>
          <c:marker>
            <c:symbol val="square"/>
            <c:size val="7"/>
            <c:spPr>
              <a:solidFill>
                <a:schemeClr val="accent6"/>
              </a:solidFill>
              <a:ln w="9525">
                <a:noFill/>
              </a:ln>
              <a:effectLst/>
            </c:spPr>
          </c:marker>
          <c:dLbls>
            <c:delete val="1"/>
          </c:dLbls>
          <c:cat>
            <c:strRef>
              <c:f>Sheet1!$C$13:$F$13</c:f>
              <c:strCache>
                <c:ptCount val="4"/>
                <c:pt idx="0">
                  <c:v>Quý 3/2020</c:v>
                </c:pt>
                <c:pt idx="1">
                  <c:v> Quý 4/ 2020</c:v>
                </c:pt>
                <c:pt idx="2">
                  <c:v> Quý 1/2021</c:v>
                </c:pt>
                <c:pt idx="3">
                  <c:v> Quý 3/2021</c:v>
                </c:pt>
              </c:strCache>
            </c:strRef>
          </c:cat>
          <c:val>
            <c:numRef>
              <c:f>'[Data thực hành tại lớp.xlsx]Sheet1'!$C$15:$F$15</c:f>
              <c:numCache>
                <c:formatCode>General</c:formatCode>
                <c:ptCount val="4"/>
                <c:pt idx="0">
                  <c:v>0.30580000000000002</c:v>
                </c:pt>
                <c:pt idx="1">
                  <c:v>0.29699999999999999</c:v>
                </c:pt>
                <c:pt idx="2">
                  <c:v>0.3</c:v>
                </c:pt>
                <c:pt idx="3">
                  <c:v>0.34300000000000003</c:v>
                </c:pt>
              </c:numCache>
            </c:numRef>
          </c:val>
          <c:smooth val="0"/>
          <c:extLst>
            <c:ext xmlns:c16="http://schemas.microsoft.com/office/drawing/2014/chart" uri="{C3380CC4-5D6E-409C-BE32-E72D297353CC}">
              <c16:uniqueId val="{00000001-670C-4C1C-8687-955824B044AB}"/>
            </c:ext>
          </c:extLst>
        </c:ser>
        <c:ser>
          <c:idx val="2"/>
          <c:order val="2"/>
          <c:tx>
            <c:strRef>
              <c:f>'[Data thực hành tại lớp.xlsx]Sheet1'!$B$16</c:f>
              <c:strCache>
                <c:ptCount val="1"/>
                <c:pt idx="0">
                  <c:v>MBB</c:v>
                </c:pt>
              </c:strCache>
            </c:strRef>
          </c:tx>
          <c:spPr>
            <a:ln w="28575" cap="rnd">
              <a:solidFill>
                <a:schemeClr val="accent1">
                  <a:lumMod val="50000"/>
                </a:schemeClr>
              </a:solidFill>
              <a:prstDash val="solid"/>
              <a:round/>
            </a:ln>
            <a:effectLst/>
          </c:spPr>
          <c:marker>
            <c:symbol val="circle"/>
            <c:size val="7"/>
            <c:spPr>
              <a:solidFill>
                <a:schemeClr val="accent1"/>
              </a:solidFill>
              <a:ln w="9525">
                <a:noFill/>
              </a:ln>
              <a:effectLst/>
            </c:spPr>
          </c:marker>
          <c:dLbls>
            <c:delete val="1"/>
          </c:dLbls>
          <c:cat>
            <c:strRef>
              <c:f>Sheet1!$C$13:$F$13</c:f>
              <c:strCache>
                <c:ptCount val="4"/>
                <c:pt idx="0">
                  <c:v>Quý 3/2020</c:v>
                </c:pt>
                <c:pt idx="1">
                  <c:v> Quý 4/ 2020</c:v>
                </c:pt>
                <c:pt idx="2">
                  <c:v> Quý 1/2021</c:v>
                </c:pt>
                <c:pt idx="3">
                  <c:v> Quý 3/2021</c:v>
                </c:pt>
              </c:strCache>
            </c:strRef>
          </c:cat>
          <c:val>
            <c:numRef>
              <c:f>'[Data thực hành tại lớp.xlsx]Sheet1'!$C$16:$F$16</c:f>
              <c:numCache>
                <c:formatCode>General</c:formatCode>
                <c:ptCount val="4"/>
                <c:pt idx="0">
                  <c:v>0.29849999999999999</c:v>
                </c:pt>
                <c:pt idx="1">
                  <c:v>0.307</c:v>
                </c:pt>
                <c:pt idx="2">
                  <c:v>0.33700000000000002</c:v>
                </c:pt>
                <c:pt idx="3">
                  <c:v>0.371</c:v>
                </c:pt>
              </c:numCache>
            </c:numRef>
          </c:val>
          <c:smooth val="0"/>
          <c:extLst>
            <c:ext xmlns:c16="http://schemas.microsoft.com/office/drawing/2014/chart" uri="{C3380CC4-5D6E-409C-BE32-E72D297353CC}">
              <c16:uniqueId val="{00000002-670C-4C1C-8687-955824B044AB}"/>
            </c:ext>
          </c:extLst>
        </c:ser>
        <c:ser>
          <c:idx val="3"/>
          <c:order val="3"/>
          <c:tx>
            <c:strRef>
              <c:f>'[Data thực hành tại lớp.xlsx]Sheet1'!$B$17</c:f>
              <c:strCache>
                <c:ptCount val="1"/>
                <c:pt idx="0">
                  <c:v>ACB</c:v>
                </c:pt>
              </c:strCache>
            </c:strRef>
          </c:tx>
          <c:spPr>
            <a:ln w="28575" cap="rnd">
              <a:solidFill>
                <a:schemeClr val="accent1">
                  <a:lumMod val="50000"/>
                </a:schemeClr>
              </a:solidFill>
              <a:round/>
            </a:ln>
            <a:effectLst/>
          </c:spPr>
          <c:marker>
            <c:symbol val="x"/>
            <c:size val="5"/>
            <c:spPr>
              <a:solidFill>
                <a:schemeClr val="accent4"/>
              </a:solidFill>
              <a:ln w="9525">
                <a:noFill/>
              </a:ln>
              <a:effectLst/>
            </c:spPr>
          </c:marker>
          <c:dLbls>
            <c:delete val="1"/>
          </c:dLbls>
          <c:cat>
            <c:strRef>
              <c:f>Sheet1!$C$13:$F$13</c:f>
              <c:strCache>
                <c:ptCount val="4"/>
                <c:pt idx="0">
                  <c:v>Quý 3/2020</c:v>
                </c:pt>
                <c:pt idx="1">
                  <c:v> Quý 4/ 2020</c:v>
                </c:pt>
                <c:pt idx="2">
                  <c:v> Quý 1/2021</c:v>
                </c:pt>
                <c:pt idx="3">
                  <c:v> Quý 3/2021</c:v>
                </c:pt>
              </c:strCache>
            </c:strRef>
          </c:cat>
          <c:val>
            <c:numRef>
              <c:f>'[Data thực hành tại lớp.xlsx]Sheet1'!$C$17:$F$17</c:f>
              <c:numCache>
                <c:formatCode>General</c:formatCode>
                <c:ptCount val="4"/>
                <c:pt idx="0">
                  <c:v>0.16869999999999999</c:v>
                </c:pt>
                <c:pt idx="1">
                  <c:v>0.19059999999999999</c:v>
                </c:pt>
                <c:pt idx="2">
                  <c:v>0.215</c:v>
                </c:pt>
                <c:pt idx="3">
                  <c:v>0.23200000000000001</c:v>
                </c:pt>
              </c:numCache>
            </c:numRef>
          </c:val>
          <c:smooth val="0"/>
          <c:extLst>
            <c:ext xmlns:c16="http://schemas.microsoft.com/office/drawing/2014/chart" uri="{C3380CC4-5D6E-409C-BE32-E72D297353CC}">
              <c16:uniqueId val="{00000003-670C-4C1C-8687-955824B044AB}"/>
            </c:ext>
          </c:extLst>
        </c:ser>
        <c:dLbls>
          <c:showLegendKey val="0"/>
          <c:showVal val="1"/>
          <c:showCatName val="0"/>
          <c:showSerName val="0"/>
          <c:showPercent val="0"/>
          <c:showBubbleSize val="0"/>
        </c:dLbls>
        <c:marker val="1"/>
        <c:smooth val="0"/>
        <c:axId val="663789317"/>
        <c:axId val="657624477"/>
      </c:lineChart>
      <c:catAx>
        <c:axId val="663789317"/>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7624477"/>
        <c:crosses val="autoZero"/>
        <c:auto val="1"/>
        <c:lblAlgn val="ctr"/>
        <c:lblOffset val="100"/>
        <c:noMultiLvlLbl val="0"/>
      </c:catAx>
      <c:valAx>
        <c:axId val="657624477"/>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ln w="12700" cmpd="sng">
                      <a:noFill/>
                      <a:prstDash val="solid"/>
                    </a:ln>
                    <a:solidFill>
                      <a:schemeClr val="tx1">
                        <a:lumMod val="95000"/>
                        <a:lumOff val="5000"/>
                      </a:schemeClr>
                    </a:solidFill>
                    <a:latin typeface="+mn-lt"/>
                    <a:ea typeface="+mn-ea"/>
                    <a:cs typeface="+mn-cs"/>
                  </a:defRPr>
                </a:pPr>
                <a:r>
                  <a:rPr lang="vi-VN" altLang="en-US">
                    <a:ln w="12700" cmpd="sng">
                      <a:noFill/>
                      <a:prstDash val="solid"/>
                    </a:ln>
                    <a:solidFill>
                      <a:schemeClr val="tx1">
                        <a:lumMod val="95000"/>
                        <a:lumOff val="5000"/>
                      </a:schemeClr>
                    </a:solidFill>
                  </a:rPr>
                  <a:t>Tỷ lệ </a:t>
                </a:r>
                <a:r>
                  <a:rPr lang="vi-VN" altLang="en-US" sz="1000" b="0" i="0" u="none" strike="noStrike" kern="1200" baseline="0">
                    <a:ln w="12700" cmpd="sng">
                      <a:noFill/>
                      <a:prstDash val="solid"/>
                    </a:ln>
                    <a:solidFill>
                      <a:schemeClr val="tx1">
                        <a:lumMod val="95000"/>
                        <a:lumOff val="5000"/>
                      </a:schemeClr>
                    </a:solidFill>
                    <a:latin typeface="+mn-lt"/>
                    <a:ea typeface="+mn-ea"/>
                    <a:cs typeface="+mn-cs"/>
                  </a:rPr>
                  <a:t>CASA</a:t>
                </a:r>
                <a:endParaRPr lang="vi-VN" altLang="en-US">
                  <a:ln w="12700" cmpd="sng">
                    <a:noFill/>
                    <a:prstDash val="solid"/>
                  </a:ln>
                  <a:solidFill>
                    <a:schemeClr val="tx1">
                      <a:lumMod val="95000"/>
                      <a:lumOff val="5000"/>
                    </a:schemeClr>
                  </a:solidFill>
                </a:endParaRPr>
              </a:p>
            </c:rich>
          </c:tx>
          <c:layout>
            <c:manualLayout>
              <c:xMode val="edge"/>
              <c:yMode val="edge"/>
              <c:x val="9.1117102281298643E-3"/>
              <c:y val="0.37427158646660447"/>
            </c:manualLayout>
          </c:layout>
          <c:overlay val="0"/>
          <c:spPr>
            <a:noFill/>
            <a:ln>
              <a:noFill/>
            </a:ln>
            <a:effectLst/>
          </c:spPr>
          <c:txPr>
            <a:bodyPr rot="-5400000" spcFirstLastPara="0" vertOverflow="ellipsis" vert="horz" wrap="square" anchor="ctr" anchorCtr="1"/>
            <a:lstStyle/>
            <a:p>
              <a:pPr defTabSz="914400">
                <a:defRPr lang="en-US" sz="1000" b="0" i="0" u="none" strike="noStrike" kern="1200" baseline="0">
                  <a:ln w="12700" cmpd="sng">
                    <a:noFill/>
                    <a:prstDash val="solid"/>
                  </a:ln>
                  <a:solidFill>
                    <a:schemeClr val="tx1">
                      <a:lumMod val="95000"/>
                      <a:lumOff val="5000"/>
                    </a:schemeClr>
                  </a:solidFill>
                  <a:latin typeface="+mn-lt"/>
                  <a:ea typeface="+mn-ea"/>
                  <a:cs typeface="+mn-cs"/>
                </a:defRPr>
              </a:pPr>
              <a:endParaRPr lang="en-US"/>
            </a:p>
          </c:txPr>
        </c:title>
        <c:numFmt formatCode="0%" sourceLinked="0"/>
        <c:majorTickMark val="out"/>
        <c:minorTickMark val="none"/>
        <c:tickLblPos val="nextTo"/>
        <c:spPr>
          <a:noFill/>
          <a:ln cap="sq" cmpd="dbl">
            <a:noFill/>
            <a:round/>
          </a:ln>
          <a:effectLst/>
        </c:spPr>
        <c:txPr>
          <a:bodyPr rot="-60000000" spcFirstLastPara="0" vertOverflow="ellipsis" vert="horz" wrap="square" anchor="ctr" anchorCtr="1"/>
          <a:lstStyle/>
          <a:p>
            <a:pPr>
              <a:defRPr lang="en-US"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3789317"/>
        <c:crosses val="autoZero"/>
        <c:crossBetween val="between"/>
      </c:valAx>
      <c:spPr>
        <a:noFill/>
        <a:ln>
          <a:solidFill>
            <a:schemeClr val="bg2">
              <a:lumMod val="90000"/>
            </a:schemeClr>
          </a:solidFill>
        </a:ln>
        <a:effectLst/>
      </c:spPr>
    </c:plotArea>
    <c:legend>
      <c:legendPos val="r"/>
      <c:layout>
        <c:manualLayout>
          <c:xMode val="edge"/>
          <c:yMode val="edge"/>
          <c:x val="0.14056487614206095"/>
          <c:y val="0.13752315260527512"/>
          <c:w val="0.71815288046716519"/>
          <c:h val="5.8430956247326915E-2"/>
        </c:manualLayout>
      </c:layout>
      <c:overlay val="0"/>
      <c:spPr>
        <a:noFill/>
        <a:ln>
          <a:noFill/>
        </a:ln>
        <a:effectLst/>
      </c:spPr>
      <c:txPr>
        <a:bodyPr rot="0" spcFirstLastPara="0" vertOverflow="ellipsis" vert="horz" wrap="square" anchor="ctr" anchorCtr="1"/>
        <a:lstStyle/>
        <a:p>
          <a:pPr>
            <a:defRPr lang="en-US"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rot="0" vert="eaVert" anchor="b" anchorCtr="1"/>
    <a:lstStyle/>
    <a:p>
      <a:pPr>
        <a:defRPr lang="en-US"/>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0.08065</cdr:x>
      <cdr:y>0</cdr:y>
    </cdr:from>
    <cdr:to>
      <cdr:x>0.97673</cdr:x>
      <cdr:y>0.10292</cdr:y>
    </cdr:to>
    <cdr:sp macro="" textlink="">
      <cdr:nvSpPr>
        <cdr:cNvPr id="3" name="Text Box 2"/>
        <cdr:cNvSpPr txBox="1"/>
      </cdr:nvSpPr>
      <cdr:spPr>
        <a:xfrm xmlns:a="http://schemas.openxmlformats.org/drawingml/2006/main">
          <a:off x="478465" y="0"/>
          <a:ext cx="5316279" cy="2764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solidFill>
                <a:schemeClr val="accent6">
                  <a:lumMod val="50000"/>
                </a:schemeClr>
              </a:solidFill>
              <a:latin typeface="Arial" panose="020B0604020202020204" pitchFamily="34" charset="0"/>
              <a:cs typeface="Arial" panose="020B0604020202020204" pitchFamily="34" charset="0"/>
            </a:rPr>
            <a:t>LÃI</a:t>
          </a:r>
          <a:r>
            <a:rPr lang="en-US" sz="1100" b="1" baseline="0">
              <a:solidFill>
                <a:schemeClr val="accent6">
                  <a:lumMod val="50000"/>
                </a:schemeClr>
              </a:solidFill>
              <a:latin typeface="Arial" panose="020B0604020202020204" pitchFamily="34" charset="0"/>
              <a:cs typeface="Arial" panose="020B0604020202020204" pitchFamily="34" charset="0"/>
            </a:rPr>
            <a:t> THUẦN TỪ HOẠT ĐỘNG DỊCH VỤ CỦA NGÂN HÀNG VIETCOMBANK</a:t>
          </a:r>
          <a:endParaRPr lang="en-US" sz="1100" b="1">
            <a:solidFill>
              <a:schemeClr val="accent6">
                <a:lumMod val="50000"/>
              </a:schemeClr>
            </a:solidFill>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0.61628</cdr:x>
      <cdr:y>0.86905</cdr:y>
    </cdr:from>
    <cdr:to>
      <cdr:x>0.94245</cdr:x>
      <cdr:y>0.94397</cdr:y>
    </cdr:to>
    <cdr:sp macro="" textlink="">
      <cdr:nvSpPr>
        <cdr:cNvPr id="6" name="Text Box 5"/>
        <cdr:cNvSpPr txBox="1"/>
      </cdr:nvSpPr>
      <cdr:spPr>
        <a:xfrm xmlns:a="http://schemas.openxmlformats.org/drawingml/2006/main">
          <a:off x="3636335" y="2466754"/>
          <a:ext cx="1924493" cy="212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0.26882</cdr:x>
      <cdr:y>0.91146</cdr:y>
    </cdr:from>
    <cdr:to>
      <cdr:x>1</cdr:x>
      <cdr:y>1</cdr:y>
    </cdr:to>
    <cdr:sp macro="" textlink="">
      <cdr:nvSpPr>
        <cdr:cNvPr id="7" name="Text Box 6"/>
        <cdr:cNvSpPr txBox="1"/>
      </cdr:nvSpPr>
      <cdr:spPr>
        <a:xfrm xmlns:a="http://schemas.openxmlformats.org/drawingml/2006/main">
          <a:off x="1594857" y="2887519"/>
          <a:ext cx="4337948" cy="2804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sz="900" i="1">
              <a:effectLst/>
              <a:latin typeface="Arial" panose="020B0604020202020204" pitchFamily="34" charset="0"/>
              <a:ea typeface="+mn-ea"/>
              <a:cs typeface="Arial" panose="020B0604020202020204" pitchFamily="34" charset="0"/>
            </a:rPr>
            <a:t>Nguồn: SV Tổng hợp BCTC các ngân hàng và bài báo liên quan</a:t>
          </a:r>
          <a:endParaRPr lang="en-US" sz="900">
            <a:effectLst/>
            <a:latin typeface="Arial" panose="020B0604020202020204" pitchFamily="34" charset="0"/>
            <a:ea typeface="+mn-ea"/>
            <a:cs typeface="Arial" panose="020B0604020202020204" pitchFamily="34" charset="0"/>
          </a:endParaRPr>
        </a:p>
        <a:p xmlns:a="http://schemas.openxmlformats.org/drawingml/2006/main">
          <a:endParaRPr lang="en-US" sz="1100"/>
        </a:p>
      </cdr:txBody>
    </cdr:sp>
  </cdr:relSizeAnchor>
  <cdr:relSizeAnchor xmlns:cdr="http://schemas.openxmlformats.org/drawingml/2006/chartDrawing">
    <cdr:from>
      <cdr:x>0.03372</cdr:x>
      <cdr:y>0.02775</cdr:y>
    </cdr:from>
    <cdr:to>
      <cdr:x>0.98095</cdr:x>
      <cdr:y>0.12928</cdr:y>
    </cdr:to>
    <cdr:sp macro="" textlink="">
      <cdr:nvSpPr>
        <cdr:cNvPr id="8" name="Text Box 7"/>
        <cdr:cNvSpPr txBox="1"/>
      </cdr:nvSpPr>
      <cdr:spPr>
        <a:xfrm xmlns:a="http://schemas.openxmlformats.org/drawingml/2006/main">
          <a:off x="200026" y="87924"/>
          <a:ext cx="5619750" cy="3216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altLang="en-US" sz="1100" b="1" i="0" u="none" strike="noStrike" kern="1200" spc="0" baseline="0">
              <a:solidFill>
                <a:schemeClr val="accent6">
                  <a:lumMod val="50000"/>
                </a:schemeClr>
              </a:solidFill>
              <a:latin typeface="Arial" panose="020B0604020202020204" pitchFamily="34" charset="0"/>
              <a:ea typeface="+mn-ea"/>
              <a:cs typeface="Arial" panose="020B0604020202020204" pitchFamily="34" charset="0"/>
            </a:rPr>
            <a:t>CASA CÁC NGÂN HÀNG QUA CÁC QUÝ NỔI BẬT TRONG GIAI ĐOẠN 2020-2021</a:t>
          </a:r>
          <a:endParaRPr lang="vi-VN" altLang="en-US" sz="1100" b="1" strike="noStrike">
            <a:solidFill>
              <a:schemeClr val="accent6">
                <a:lumMod val="50000"/>
              </a:schemeClr>
            </a:solidFill>
            <a:latin typeface="Arial" panose="020B0604020202020204" pitchFamily="34" charset="0"/>
            <a:cs typeface="Arial" panose="020B0604020202020204" pitchFamily="34" charset="0"/>
          </a:endParaRP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2neJA14pIlAeTSyKFaLT9asuaQ==">AMUW2mUuoIis6y+YsaZ02rhN6ebzivs8TH9Y91LMCxSvRgIL507s2uUroZIhnVjIII/2+GIkYDmACdxkH4rXobnLdDmMBVYSPsEoaPkRt28hyOgkRjbT/x0=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Trong</dc:creator>
  <cp:lastModifiedBy>Trà Ly Phạm</cp:lastModifiedBy>
  <cp:revision>5</cp:revision>
  <dcterms:created xsi:type="dcterms:W3CDTF">2021-12-30T15:11:00Z</dcterms:created>
  <dcterms:modified xsi:type="dcterms:W3CDTF">2022-01-05T14:23:00Z</dcterms:modified>
</cp:coreProperties>
</file>